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095FBC" w:rsidRPr="009B1854" w14:paraId="717DC9C9" w14:textId="77777777" w:rsidTr="111BCED9">
        <w:tc>
          <w:tcPr>
            <w:tcW w:w="9212" w:type="dxa"/>
          </w:tcPr>
          <w:p w14:paraId="40ED7A68" w14:textId="2EB1E474" w:rsidR="00095FBC" w:rsidRPr="004435BD" w:rsidRDefault="00BF6657" w:rsidP="0DC9F049">
            <w:pPr>
              <w:spacing w:before="240" w:after="240" w:line="360" w:lineRule="auto"/>
              <w:jc w:val="center"/>
            </w:pPr>
            <w:r w:rsidRPr="232E80A2">
              <w:rPr>
                <w:rFonts w:ascii="Arial" w:hAnsi="Arial" w:cs="Arial"/>
                <w:b/>
                <w:bCs/>
                <w:color w:val="2F5496" w:themeColor="accent1" w:themeShade="BF"/>
                <w:sz w:val="32"/>
                <w:szCs w:val="32"/>
              </w:rPr>
              <w:t>Introduction to Quantitative Research Methods</w:t>
            </w:r>
            <w:r w:rsidR="49411684" w:rsidRPr="232E80A2">
              <w:rPr>
                <w:rFonts w:ascii="Arial" w:hAnsi="Arial" w:cs="Arial"/>
                <w:b/>
                <w:bCs/>
                <w:color w:val="2F5496" w:themeColor="accent1" w:themeShade="BF"/>
                <w:sz w:val="32"/>
                <w:szCs w:val="32"/>
              </w:rPr>
              <w:t xml:space="preserve"> – </w:t>
            </w:r>
            <w:r>
              <w:br/>
            </w:r>
            <w:r w:rsidR="49411684" w:rsidRPr="232E80A2">
              <w:rPr>
                <w:rFonts w:ascii="Arial" w:hAnsi="Arial" w:cs="Arial"/>
                <w:b/>
                <w:bCs/>
                <w:color w:val="2F5496" w:themeColor="accent1" w:themeShade="BF"/>
                <w:sz w:val="32"/>
                <w:szCs w:val="32"/>
              </w:rPr>
              <w:t xml:space="preserve">PCAI-Cycle </w:t>
            </w:r>
            <w:r w:rsidR="00FC6E2F" w:rsidRPr="232E80A2">
              <w:rPr>
                <w:rFonts w:ascii="Arial" w:hAnsi="Arial" w:cs="Arial"/>
                <w:b/>
                <w:bCs/>
                <w:color w:val="2F5496" w:themeColor="accent1" w:themeShade="BF"/>
                <w:sz w:val="32"/>
                <w:szCs w:val="32"/>
              </w:rPr>
              <w:t>Information sheet</w:t>
            </w:r>
          </w:p>
        </w:tc>
      </w:tr>
      <w:tr w:rsidR="00220729" w:rsidRPr="009B1854" w14:paraId="4A758247" w14:textId="77777777" w:rsidTr="111BCED9">
        <w:tc>
          <w:tcPr>
            <w:tcW w:w="9212" w:type="dxa"/>
          </w:tcPr>
          <w:p w14:paraId="330C9266" w14:textId="6FAD0A6D" w:rsidR="00232397" w:rsidRDefault="00232397" w:rsidP="232E80A2">
            <w:pPr>
              <w:spacing w:before="120" w:after="120" w:line="360" w:lineRule="auto"/>
              <w:ind w:firstLine="316"/>
              <w:jc w:val="both"/>
              <w:rPr>
                <w:rFonts w:ascii="Arial" w:hAnsi="Arial" w:cs="Arial"/>
                <w:sz w:val="28"/>
                <w:szCs w:val="28"/>
              </w:rPr>
            </w:pPr>
            <w:r w:rsidRPr="232E80A2">
              <w:rPr>
                <w:rFonts w:ascii="Arial" w:hAnsi="Arial" w:cs="Arial"/>
                <w:sz w:val="28"/>
                <w:szCs w:val="28"/>
              </w:rPr>
              <w:t xml:space="preserve">Any quantitative research project follows the steps below, commonly known as </w:t>
            </w:r>
            <w:r w:rsidRPr="232E80A2">
              <w:rPr>
                <w:rFonts w:ascii="Arial" w:hAnsi="Arial" w:cs="Arial"/>
                <w:color w:val="0033CC"/>
                <w:sz w:val="28"/>
                <w:szCs w:val="28"/>
              </w:rPr>
              <w:t>PCAI-cycle</w:t>
            </w:r>
            <w:r w:rsidRPr="232E80A2">
              <w:rPr>
                <w:rFonts w:ascii="Arial" w:hAnsi="Arial" w:cs="Arial"/>
                <w:sz w:val="28"/>
                <w:szCs w:val="28"/>
              </w:rPr>
              <w:t xml:space="preserve">. The cycle </w:t>
            </w:r>
            <w:r w:rsidR="0003337A" w:rsidRPr="232E80A2">
              <w:rPr>
                <w:rFonts w:ascii="Arial" w:hAnsi="Arial" w:cs="Arial"/>
                <w:sz w:val="28"/>
                <w:szCs w:val="28"/>
              </w:rPr>
              <w:t>comprises</w:t>
            </w:r>
            <w:r w:rsidRPr="232E80A2">
              <w:rPr>
                <w:rFonts w:ascii="Arial" w:hAnsi="Arial" w:cs="Arial"/>
                <w:sz w:val="28"/>
                <w:szCs w:val="28"/>
              </w:rPr>
              <w:t xml:space="preserve"> four connected components as </w:t>
            </w:r>
            <w:r w:rsidR="00375E2F" w:rsidRPr="232E80A2">
              <w:rPr>
                <w:rFonts w:ascii="Arial" w:hAnsi="Arial" w:cs="Arial"/>
                <w:sz w:val="28"/>
                <w:szCs w:val="28"/>
              </w:rPr>
              <w:t xml:space="preserve">clockwise represented </w:t>
            </w:r>
            <w:r w:rsidRPr="232E80A2">
              <w:rPr>
                <w:rFonts w:ascii="Arial" w:hAnsi="Arial" w:cs="Arial"/>
                <w:sz w:val="28"/>
                <w:szCs w:val="28"/>
              </w:rPr>
              <w:t xml:space="preserve">on the diagram. </w:t>
            </w:r>
          </w:p>
          <w:p w14:paraId="4161347A" w14:textId="47472AFE" w:rsidR="232E80A2" w:rsidRDefault="232E80A2" w:rsidP="232E80A2">
            <w:pPr>
              <w:spacing w:before="120" w:after="120" w:line="360" w:lineRule="auto"/>
              <w:ind w:firstLine="316"/>
              <w:jc w:val="both"/>
              <w:rPr>
                <w:rFonts w:ascii="Arial" w:hAnsi="Arial" w:cs="Arial"/>
                <w:sz w:val="28"/>
                <w:szCs w:val="28"/>
              </w:rPr>
            </w:pPr>
          </w:p>
          <w:p w14:paraId="6AB7AEE6" w14:textId="7A472D27" w:rsidR="00232397" w:rsidRDefault="00780F33" w:rsidP="232E80A2">
            <w:pPr>
              <w:spacing w:before="120" w:after="120" w:line="360" w:lineRule="auto"/>
              <w:ind w:firstLine="316"/>
              <w:jc w:val="both"/>
              <w:rPr>
                <w:rFonts w:ascii="Arial" w:hAnsi="Arial" w:cs="Arial"/>
                <w:sz w:val="28"/>
                <w:szCs w:val="28"/>
              </w:rPr>
            </w:pPr>
            <w:r w:rsidRPr="232E80A2">
              <w:rPr>
                <w:rFonts w:ascii="Arial" w:hAnsi="Arial" w:cs="Arial"/>
                <w:sz w:val="28"/>
                <w:szCs w:val="28"/>
              </w:rPr>
              <w:t xml:space="preserve"> </w:t>
            </w:r>
            <w:r w:rsidR="00232397" w:rsidRPr="232E80A2">
              <w:rPr>
                <w:rFonts w:ascii="Arial" w:hAnsi="Arial" w:cs="Arial"/>
                <w:sz w:val="28"/>
                <w:szCs w:val="28"/>
              </w:rPr>
              <w:t xml:space="preserve">Encourage students to explore, discuss and comment each component. To lead the discussion we can ask, for example, what is the importance of each step of the cycle? How are they connected. Then why are they important? How will </w:t>
            </w:r>
            <w:r w:rsidRPr="232E80A2">
              <w:rPr>
                <w:rFonts w:ascii="Arial" w:hAnsi="Arial" w:cs="Arial"/>
                <w:sz w:val="28"/>
                <w:szCs w:val="28"/>
              </w:rPr>
              <w:t>students</w:t>
            </w:r>
            <w:r w:rsidR="00232397" w:rsidRPr="232E80A2">
              <w:rPr>
                <w:rFonts w:ascii="Arial" w:hAnsi="Arial" w:cs="Arial"/>
                <w:sz w:val="28"/>
                <w:szCs w:val="28"/>
              </w:rPr>
              <w:t xml:space="preserve"> apply these steps to their project</w:t>
            </w:r>
            <w:r w:rsidRPr="232E80A2">
              <w:rPr>
                <w:rFonts w:ascii="Arial" w:hAnsi="Arial" w:cs="Arial"/>
                <w:sz w:val="28"/>
                <w:szCs w:val="28"/>
              </w:rPr>
              <w:t xml:space="preserve"> or </w:t>
            </w:r>
            <w:r w:rsidR="001D3180" w:rsidRPr="232E80A2">
              <w:rPr>
                <w:rFonts w:ascii="Arial" w:hAnsi="Arial" w:cs="Arial"/>
                <w:sz w:val="28"/>
                <w:szCs w:val="28"/>
              </w:rPr>
              <w:t xml:space="preserve">for a </w:t>
            </w:r>
            <w:r w:rsidRPr="232E80A2">
              <w:rPr>
                <w:rFonts w:ascii="Arial" w:hAnsi="Arial" w:cs="Arial"/>
                <w:sz w:val="28"/>
                <w:szCs w:val="28"/>
              </w:rPr>
              <w:t>critical review</w:t>
            </w:r>
            <w:r w:rsidR="00232397" w:rsidRPr="232E80A2">
              <w:rPr>
                <w:rFonts w:ascii="Arial" w:hAnsi="Arial" w:cs="Arial"/>
                <w:sz w:val="28"/>
                <w:szCs w:val="28"/>
              </w:rPr>
              <w:t xml:space="preserve">? </w:t>
            </w:r>
          </w:p>
          <w:p w14:paraId="3D48F5DA" w14:textId="77777777" w:rsidR="00232397" w:rsidRPr="00CF5E89" w:rsidRDefault="00232397" w:rsidP="232E80A2">
            <w:pPr>
              <w:spacing w:before="120" w:after="120" w:line="360" w:lineRule="auto"/>
              <w:rPr>
                <w:rFonts w:ascii="Arial" w:eastAsiaTheme="minorEastAsia" w:hAnsi="Arial" w:cs="Arial"/>
                <w:sz w:val="28"/>
                <w:szCs w:val="28"/>
              </w:rPr>
            </w:pPr>
          </w:p>
          <w:tbl>
            <w:tblPr>
              <w:tblStyle w:val="TableGrid"/>
              <w:tblW w:w="0" w:type="auto"/>
              <w:tblLook w:val="04A0" w:firstRow="1" w:lastRow="0" w:firstColumn="1" w:lastColumn="0" w:noHBand="0" w:noVBand="1"/>
            </w:tblPr>
            <w:tblGrid>
              <w:gridCol w:w="4477"/>
              <w:gridCol w:w="4509"/>
            </w:tblGrid>
            <w:tr w:rsidR="00E865E1" w:rsidRPr="00CF5E89" w14:paraId="41532758" w14:textId="77777777" w:rsidTr="111BCED9">
              <w:trPr>
                <w:trHeight w:val="3569"/>
              </w:trPr>
              <w:tc>
                <w:tcPr>
                  <w:tcW w:w="3488" w:type="dxa"/>
                </w:tcPr>
                <w:p w14:paraId="5E7C0877" w14:textId="61613E4C" w:rsidR="005715E7" w:rsidRPr="00CF5E89" w:rsidRDefault="00E865E1" w:rsidP="0DC9F049">
                  <w:pPr>
                    <w:spacing w:before="120" w:after="120" w:line="360" w:lineRule="auto"/>
                    <w:rPr>
                      <w:rFonts w:ascii="Arial" w:hAnsi="Arial" w:cs="Arial"/>
                      <w:b/>
                      <w:bCs/>
                      <w:color w:val="2F5496" w:themeColor="accent1" w:themeShade="BF"/>
                      <w:sz w:val="24"/>
                      <w:szCs w:val="24"/>
                    </w:rPr>
                  </w:pPr>
                  <w:r>
                    <w:rPr>
                      <w:noProof/>
                    </w:rPr>
                    <w:drawing>
                      <wp:inline distT="0" distB="0" distL="0" distR="0" wp14:anchorId="6A9FC47F" wp14:editId="632E7C20">
                        <wp:extent cx="2705735" cy="1784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5735" cy="1784350"/>
                                </a:xfrm>
                                <a:prstGeom prst="rect">
                                  <a:avLst/>
                                </a:prstGeom>
                              </pic:spPr>
                            </pic:pic>
                          </a:graphicData>
                        </a:graphic>
                      </wp:inline>
                    </w:drawing>
                  </w:r>
                </w:p>
              </w:tc>
              <w:tc>
                <w:tcPr>
                  <w:tcW w:w="5006" w:type="dxa"/>
                </w:tcPr>
                <w:p w14:paraId="575DB770" w14:textId="6B661593" w:rsidR="005715E7" w:rsidRPr="00CF5E89" w:rsidRDefault="00E865E1" w:rsidP="0DC9F049">
                  <w:pPr>
                    <w:spacing w:before="120" w:after="120" w:line="360" w:lineRule="auto"/>
                    <w:rPr>
                      <w:rFonts w:ascii="Arial" w:hAnsi="Arial" w:cs="Arial"/>
                      <w:b/>
                      <w:bCs/>
                      <w:color w:val="2F5496" w:themeColor="accent1" w:themeShade="BF"/>
                      <w:sz w:val="24"/>
                      <w:szCs w:val="24"/>
                    </w:rPr>
                  </w:pPr>
                  <w:r>
                    <w:rPr>
                      <w:noProof/>
                    </w:rPr>
                    <w:drawing>
                      <wp:inline distT="0" distB="0" distL="0" distR="0" wp14:anchorId="46569739" wp14:editId="4AB94193">
                        <wp:extent cx="2726055" cy="175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6055" cy="1758950"/>
                                </a:xfrm>
                                <a:prstGeom prst="rect">
                                  <a:avLst/>
                                </a:prstGeom>
                              </pic:spPr>
                            </pic:pic>
                          </a:graphicData>
                        </a:graphic>
                      </wp:inline>
                    </w:drawing>
                  </w:r>
                </w:p>
              </w:tc>
            </w:tr>
          </w:tbl>
          <w:p w14:paraId="64A2892D" w14:textId="0C23172C" w:rsidR="00220729" w:rsidRPr="00CF5E89" w:rsidRDefault="00220729" w:rsidP="0DC9F049">
            <w:pPr>
              <w:spacing w:before="120" w:after="120" w:line="360" w:lineRule="auto"/>
              <w:rPr>
                <w:rFonts w:ascii="Arial" w:hAnsi="Arial" w:cs="Arial"/>
                <w:b/>
                <w:bCs/>
                <w:color w:val="2F5496" w:themeColor="accent1" w:themeShade="BF"/>
                <w:sz w:val="24"/>
                <w:szCs w:val="24"/>
              </w:rPr>
            </w:pPr>
          </w:p>
        </w:tc>
      </w:tr>
    </w:tbl>
    <w:p w14:paraId="5E83894C" w14:textId="23334398" w:rsidR="00AF27BB" w:rsidRPr="00AF27BB" w:rsidRDefault="00AF27BB" w:rsidP="00AF27BB">
      <w:pPr>
        <w:shd w:val="clear" w:color="auto" w:fill="FFFFFF" w:themeFill="background1"/>
        <w:spacing w:beforeAutospacing="1" w:afterAutospacing="1"/>
        <w:ind w:left="360"/>
        <w:rPr>
          <w:rFonts w:ascii="Arial" w:hAnsi="Arial" w:cs="Arial"/>
          <w:b/>
          <w:bCs/>
          <w:color w:val="2F5496" w:themeColor="accent1" w:themeShade="BF"/>
          <w:sz w:val="32"/>
          <w:szCs w:val="32"/>
        </w:rPr>
      </w:pPr>
      <w:r w:rsidRPr="00AF27BB">
        <w:rPr>
          <w:rFonts w:ascii="Arial" w:hAnsi="Arial" w:cs="Arial"/>
          <w:b/>
          <w:bCs/>
          <w:color w:val="2F5496" w:themeColor="accent1" w:themeShade="BF"/>
          <w:sz w:val="32"/>
          <w:szCs w:val="32"/>
        </w:rPr>
        <w:t>Suggested References</w:t>
      </w:r>
    </w:p>
    <w:p w14:paraId="53522C0B" w14:textId="1546F722" w:rsidR="44B7B338" w:rsidRDefault="44B7B338" w:rsidP="111BCED9">
      <w:pPr>
        <w:pStyle w:val="ListParagraph"/>
        <w:numPr>
          <w:ilvl w:val="0"/>
          <w:numId w:val="29"/>
        </w:numPr>
        <w:shd w:val="clear" w:color="auto" w:fill="FFFFFF" w:themeFill="background1"/>
        <w:spacing w:beforeAutospacing="1" w:afterAutospacing="1"/>
        <w:rPr>
          <w:rFonts w:eastAsiaTheme="minorEastAsia"/>
          <w:color w:val="2C3E50"/>
          <w:sz w:val="28"/>
          <w:szCs w:val="28"/>
        </w:rPr>
      </w:pPr>
      <w:r w:rsidRPr="111BCED9">
        <w:rPr>
          <w:rFonts w:ascii="Arial" w:eastAsia="Arial" w:hAnsi="Arial" w:cs="Arial"/>
          <w:color w:val="2C3E50"/>
          <w:sz w:val="28"/>
          <w:szCs w:val="28"/>
        </w:rPr>
        <w:t xml:space="preserve">The Higher Education Academy, </w:t>
      </w:r>
      <w:r w:rsidRPr="111BCED9">
        <w:rPr>
          <w:rFonts w:ascii="Arial" w:eastAsia="Arial" w:hAnsi="Arial" w:cs="Arial"/>
          <w:i/>
          <w:iCs/>
          <w:color w:val="2C3E50"/>
          <w:sz w:val="28"/>
          <w:szCs w:val="28"/>
        </w:rPr>
        <w:t>Guide to Statistics: Supporting Statistics in Medicine</w:t>
      </w:r>
      <w:r w:rsidRPr="111BCED9">
        <w:rPr>
          <w:rFonts w:ascii="Arial" w:eastAsia="Arial" w:hAnsi="Arial" w:cs="Arial"/>
          <w:color w:val="2C3E50"/>
          <w:sz w:val="28"/>
          <w:szCs w:val="28"/>
        </w:rPr>
        <w:t xml:space="preserve">. </w:t>
      </w:r>
      <w:hyperlink r:id="rId12">
        <w:r w:rsidRPr="111BCED9">
          <w:rPr>
            <w:rStyle w:val="Hyperlink"/>
            <w:rFonts w:ascii="Arial" w:eastAsia="Arial" w:hAnsi="Arial" w:cs="Arial"/>
            <w:sz w:val="28"/>
            <w:szCs w:val="28"/>
          </w:rPr>
          <w:t>https://www.sheffield.ac.uk/polopoly_fs/1.43825!/file/Supporting-statistics.pdf</w:t>
        </w:r>
        <w:r>
          <w:br/>
        </w:r>
      </w:hyperlink>
    </w:p>
    <w:p w14:paraId="1BD7D3B1" w14:textId="5EB85258" w:rsidR="44B7B338" w:rsidRDefault="44B7B338" w:rsidP="111BCED9">
      <w:pPr>
        <w:pStyle w:val="ListParagraph"/>
        <w:numPr>
          <w:ilvl w:val="0"/>
          <w:numId w:val="29"/>
        </w:numPr>
        <w:spacing w:after="240"/>
        <w:rPr>
          <w:rFonts w:eastAsiaTheme="minorEastAsia"/>
          <w:color w:val="000000" w:themeColor="text1"/>
          <w:sz w:val="28"/>
          <w:szCs w:val="28"/>
        </w:rPr>
      </w:pPr>
      <w:r w:rsidRPr="111BCED9">
        <w:rPr>
          <w:rFonts w:ascii="Arial" w:eastAsia="Arial" w:hAnsi="Arial" w:cs="Arial"/>
          <w:color w:val="2C3E50"/>
          <w:sz w:val="28"/>
          <w:szCs w:val="28"/>
        </w:rPr>
        <w:lastRenderedPageBreak/>
        <w:t xml:space="preserve">Greenhalgh, T. (2014). Statistics for the non-statistician in </w:t>
      </w:r>
      <w:r w:rsidRPr="111BCED9">
        <w:rPr>
          <w:rFonts w:ascii="Arial" w:eastAsia="Arial" w:hAnsi="Arial" w:cs="Arial"/>
          <w:i/>
          <w:iCs/>
          <w:color w:val="2C3E50"/>
          <w:sz w:val="28"/>
          <w:szCs w:val="28"/>
        </w:rPr>
        <w:t>How to read a paper: The Basics of Evidence-Based Medicine</w:t>
      </w:r>
      <w:r w:rsidRPr="111BCED9">
        <w:rPr>
          <w:rFonts w:ascii="Arial" w:eastAsia="Arial" w:hAnsi="Arial" w:cs="Arial"/>
          <w:color w:val="2C3E50"/>
          <w:sz w:val="28"/>
          <w:szCs w:val="28"/>
        </w:rPr>
        <w:t>, 5</w:t>
      </w:r>
      <w:r w:rsidRPr="111BCED9">
        <w:rPr>
          <w:rFonts w:ascii="Arial" w:eastAsia="Arial" w:hAnsi="Arial" w:cs="Arial"/>
          <w:color w:val="2C3E50"/>
          <w:sz w:val="28"/>
          <w:szCs w:val="28"/>
          <w:vertAlign w:val="superscript"/>
        </w:rPr>
        <w:t>th</w:t>
      </w:r>
      <w:r w:rsidRPr="111BCED9">
        <w:rPr>
          <w:rFonts w:ascii="Arial" w:eastAsia="Arial" w:hAnsi="Arial" w:cs="Arial"/>
          <w:color w:val="2C3E50"/>
          <w:sz w:val="28"/>
          <w:szCs w:val="28"/>
        </w:rPr>
        <w:t xml:space="preserve"> ed. John Wiley &amp; Sons Ltd., pp. 60 – 77; 2nd edition open access</w:t>
      </w:r>
      <w:r w:rsidRPr="111BCED9">
        <w:rPr>
          <w:rFonts w:ascii="Calibri" w:eastAsia="Calibri" w:hAnsi="Calibri" w:cs="Calibri"/>
          <w:color w:val="000000" w:themeColor="text1"/>
          <w:sz w:val="28"/>
          <w:szCs w:val="28"/>
        </w:rPr>
        <w:t xml:space="preserve"> </w:t>
      </w:r>
      <w:hyperlink r:id="rId13">
        <w:r w:rsidRPr="111BCED9">
          <w:rPr>
            <w:rStyle w:val="Hyperlink"/>
            <w:rFonts w:ascii="Arial" w:eastAsia="Arial" w:hAnsi="Arial" w:cs="Arial"/>
            <w:sz w:val="28"/>
            <w:szCs w:val="28"/>
          </w:rPr>
          <w:t>https://www.ebcp.com.br/simple/upfiles/livros/001HTRP.pdf</w:t>
        </w:r>
      </w:hyperlink>
      <w:r w:rsidRPr="111BCED9">
        <w:rPr>
          <w:rFonts w:ascii="Calibri" w:eastAsia="Calibri" w:hAnsi="Calibri" w:cs="Calibri"/>
          <w:color w:val="000000" w:themeColor="text1"/>
          <w:sz w:val="28"/>
          <w:szCs w:val="28"/>
        </w:rPr>
        <w:t xml:space="preserve"> </w:t>
      </w:r>
    </w:p>
    <w:p w14:paraId="704F502A" w14:textId="5AD052C0" w:rsidR="44B7B338" w:rsidRDefault="44B7B338" w:rsidP="111BCED9">
      <w:pPr>
        <w:pStyle w:val="ListParagraph"/>
        <w:numPr>
          <w:ilvl w:val="0"/>
          <w:numId w:val="29"/>
        </w:numPr>
        <w:spacing w:after="240"/>
        <w:rPr>
          <w:rFonts w:eastAsiaTheme="minorEastAsia"/>
          <w:color w:val="2C3E50"/>
          <w:sz w:val="28"/>
          <w:szCs w:val="28"/>
        </w:rPr>
      </w:pPr>
      <w:r w:rsidRPr="111BCED9">
        <w:rPr>
          <w:rFonts w:ascii="Arial" w:eastAsia="Arial" w:hAnsi="Arial" w:cs="Arial"/>
          <w:color w:val="2C3E50"/>
          <w:sz w:val="28"/>
          <w:szCs w:val="28"/>
        </w:rPr>
        <w:t xml:space="preserve">Rowntree, D. (2018) </w:t>
      </w:r>
      <w:r w:rsidRPr="111BCED9">
        <w:rPr>
          <w:rFonts w:ascii="Arial" w:eastAsia="Arial" w:hAnsi="Arial" w:cs="Arial"/>
          <w:i/>
          <w:iCs/>
          <w:color w:val="2C3E50"/>
          <w:sz w:val="28"/>
          <w:szCs w:val="28"/>
        </w:rPr>
        <w:t xml:space="preserve">Statistics without tears: an introduction for non-mathematicians. </w:t>
      </w:r>
      <w:r w:rsidRPr="111BCED9">
        <w:rPr>
          <w:rFonts w:ascii="Arial" w:eastAsia="Arial" w:hAnsi="Arial" w:cs="Arial"/>
          <w:color w:val="2C3E50"/>
          <w:sz w:val="28"/>
          <w:szCs w:val="28"/>
        </w:rPr>
        <w:t>4</w:t>
      </w:r>
      <w:r w:rsidRPr="111BCED9">
        <w:rPr>
          <w:rFonts w:ascii="Arial" w:eastAsia="Arial" w:hAnsi="Arial" w:cs="Arial"/>
          <w:color w:val="2C3E50"/>
          <w:sz w:val="28"/>
          <w:szCs w:val="28"/>
          <w:vertAlign w:val="superscript"/>
        </w:rPr>
        <w:t>th</w:t>
      </w:r>
      <w:r w:rsidRPr="111BCED9">
        <w:rPr>
          <w:rFonts w:ascii="Arial" w:eastAsia="Arial" w:hAnsi="Arial" w:cs="Arial"/>
          <w:color w:val="2C3E50"/>
          <w:sz w:val="28"/>
          <w:szCs w:val="28"/>
        </w:rPr>
        <w:t xml:space="preserve"> ed. London: Penguin Books.</w:t>
      </w:r>
      <w:r>
        <w:br/>
      </w:r>
    </w:p>
    <w:p w14:paraId="7F616DB2" w14:textId="13A5F44B" w:rsidR="44B7B338" w:rsidRDefault="44B7B338" w:rsidP="111BCED9">
      <w:pPr>
        <w:pStyle w:val="ListParagraph"/>
        <w:numPr>
          <w:ilvl w:val="0"/>
          <w:numId w:val="29"/>
        </w:numPr>
        <w:spacing w:after="240"/>
        <w:rPr>
          <w:rFonts w:eastAsiaTheme="minorEastAsia"/>
          <w:color w:val="2C3E50"/>
          <w:sz w:val="28"/>
          <w:szCs w:val="28"/>
        </w:rPr>
      </w:pPr>
      <w:r w:rsidRPr="111BCED9">
        <w:rPr>
          <w:rFonts w:ascii="Arial" w:eastAsia="Arial" w:hAnsi="Arial" w:cs="Arial"/>
          <w:color w:val="2C3E50"/>
          <w:sz w:val="28"/>
          <w:szCs w:val="28"/>
        </w:rPr>
        <w:t xml:space="preserve">Teaching, Learning and Assessing Statistical Problem Solving </w:t>
      </w:r>
      <w:hyperlink r:id="rId14">
        <w:r w:rsidRPr="111BCED9">
          <w:rPr>
            <w:rStyle w:val="Hyperlink"/>
            <w:rFonts w:ascii="Arial" w:eastAsia="Arial" w:hAnsi="Arial" w:cs="Arial"/>
            <w:sz w:val="28"/>
            <w:szCs w:val="28"/>
          </w:rPr>
          <w:t>http://jse.amstat.org/v17n1/marriott.htm</w:t>
        </w:r>
      </w:hyperlink>
    </w:p>
    <w:p w14:paraId="60CAE5EE" w14:textId="45830C91" w:rsidR="111BCED9" w:rsidRDefault="111BCED9" w:rsidP="111BCED9">
      <w:pPr>
        <w:shd w:val="clear" w:color="auto" w:fill="FFFFFF" w:themeFill="background1"/>
        <w:spacing w:beforeAutospacing="1" w:afterAutospacing="1"/>
        <w:rPr>
          <w:rFonts w:ascii="Arial" w:hAnsi="Arial" w:cs="Arial"/>
          <w:color w:val="2C3E50"/>
          <w:sz w:val="28"/>
          <w:szCs w:val="28"/>
        </w:rPr>
      </w:pPr>
    </w:p>
    <w:p w14:paraId="57A1CEF3" w14:textId="65CC0828" w:rsidR="00FC6E2F" w:rsidRDefault="00FC6E2F" w:rsidP="232E80A2">
      <w:pPr>
        <w:pStyle w:val="ListParagraph"/>
        <w:numPr>
          <w:ilvl w:val="0"/>
          <w:numId w:val="29"/>
        </w:numPr>
        <w:shd w:val="clear" w:color="auto" w:fill="FFFFFF" w:themeFill="background1"/>
        <w:spacing w:before="100" w:beforeAutospacing="1" w:after="100" w:afterAutospacing="1"/>
        <w:rPr>
          <w:rFonts w:ascii="Arial" w:hAnsi="Arial" w:cs="Arial"/>
          <w:color w:val="2C3E50"/>
          <w:sz w:val="28"/>
          <w:szCs w:val="28"/>
          <w:shd w:val="clear" w:color="auto" w:fill="FFFFFF"/>
        </w:rPr>
      </w:pPr>
      <w:r w:rsidRPr="232E80A2">
        <w:rPr>
          <w:rFonts w:ascii="Arial" w:hAnsi="Arial" w:cs="Arial"/>
          <w:color w:val="2C3E50"/>
          <w:sz w:val="28"/>
          <w:szCs w:val="28"/>
          <w:shd w:val="clear" w:color="auto" w:fill="FFFFFF"/>
        </w:rPr>
        <w:t xml:space="preserve">Koohestani H.R et al. (2009) Barriers to the reporting of medication administration errors among nursing students, </w:t>
      </w:r>
      <w:r w:rsidRPr="111BCED9">
        <w:rPr>
          <w:rFonts w:ascii="Arial" w:hAnsi="Arial" w:cs="Arial"/>
          <w:i/>
          <w:iCs/>
          <w:color w:val="2C3E50"/>
          <w:sz w:val="28"/>
          <w:szCs w:val="28"/>
          <w:shd w:val="clear" w:color="auto" w:fill="FFFFFF"/>
        </w:rPr>
        <w:t>The Australian journal of advanced nursing</w:t>
      </w:r>
      <w:r w:rsidRPr="232E80A2">
        <w:rPr>
          <w:rFonts w:ascii="Arial" w:hAnsi="Arial" w:cs="Arial"/>
          <w:color w:val="2C3E50"/>
          <w:sz w:val="28"/>
          <w:szCs w:val="28"/>
          <w:shd w:val="clear" w:color="auto" w:fill="FFFFFF"/>
        </w:rPr>
        <w:t>, 27 (1), pp. 66-74</w:t>
      </w:r>
    </w:p>
    <w:p w14:paraId="5F61C4F0" w14:textId="77777777" w:rsidR="00EE65FD" w:rsidRPr="00CF5E89" w:rsidRDefault="00EE65FD" w:rsidP="232E80A2">
      <w:pPr>
        <w:pStyle w:val="ListParagraph"/>
        <w:shd w:val="clear" w:color="auto" w:fill="FFFFFF" w:themeFill="background1"/>
        <w:spacing w:before="100" w:beforeAutospacing="1" w:after="100" w:afterAutospacing="1"/>
        <w:rPr>
          <w:rFonts w:ascii="Arial" w:hAnsi="Arial" w:cs="Arial"/>
          <w:color w:val="2C3E50"/>
          <w:sz w:val="28"/>
          <w:szCs w:val="28"/>
          <w:shd w:val="clear" w:color="auto" w:fill="FFFFFF"/>
        </w:rPr>
      </w:pPr>
    </w:p>
    <w:p w14:paraId="5CDC51D3" w14:textId="44CD264B" w:rsidR="00FC6E2F" w:rsidRDefault="00FC6E2F" w:rsidP="232E80A2">
      <w:pPr>
        <w:pStyle w:val="ListParagraph"/>
        <w:numPr>
          <w:ilvl w:val="0"/>
          <w:numId w:val="29"/>
        </w:numPr>
        <w:shd w:val="clear" w:color="auto" w:fill="FFFFFF" w:themeFill="background1"/>
        <w:textAlignment w:val="baseline"/>
        <w:outlineLvl w:val="1"/>
        <w:rPr>
          <w:rFonts w:ascii="Arial" w:hAnsi="Arial" w:cs="Arial"/>
          <w:color w:val="2C3E50"/>
          <w:sz w:val="28"/>
          <w:szCs w:val="28"/>
          <w:shd w:val="clear" w:color="auto" w:fill="FFFFFF"/>
        </w:rPr>
      </w:pPr>
      <w:r w:rsidRPr="232E80A2">
        <w:rPr>
          <w:rFonts w:ascii="Arial" w:hAnsi="Arial" w:cs="Arial"/>
          <w:color w:val="2C3E50"/>
          <w:sz w:val="28"/>
          <w:szCs w:val="28"/>
          <w:shd w:val="clear" w:color="auto" w:fill="FFFFFF"/>
        </w:rPr>
        <w:t xml:space="preserve">Griffiths, C. et al. (2016) </w:t>
      </w:r>
      <w:r w:rsidRPr="111BCED9">
        <w:rPr>
          <w:rFonts w:ascii="Arial" w:hAnsi="Arial" w:cs="Arial"/>
          <w:i/>
          <w:iCs/>
          <w:color w:val="2C3E50"/>
          <w:sz w:val="28"/>
          <w:szCs w:val="28"/>
          <w:shd w:val="clear" w:color="auto" w:fill="FFFFFF"/>
        </w:rPr>
        <w:t>Effect of an education programme for south Asians with asthma and their clinicians: a cluster randomised controlled trial</w:t>
      </w:r>
      <w:r w:rsidRPr="232E80A2">
        <w:rPr>
          <w:rFonts w:ascii="Arial" w:hAnsi="Arial" w:cs="Arial"/>
          <w:color w:val="2C3E50"/>
          <w:sz w:val="28"/>
          <w:szCs w:val="28"/>
          <w:shd w:val="clear" w:color="auto" w:fill="FFFFFF"/>
        </w:rPr>
        <w:t xml:space="preserve"> (OEDIPUS), PLoS ONE 11 (12) e0158783, and doi:10.1371/journal.pone. 0158783. pp. 1 – 16. Editor: Ji-Hyun Lee, UNM Cancer Centre USA. </w:t>
      </w:r>
      <w:hyperlink r:id="rId15" w:history="1">
        <w:r w:rsidRPr="232E80A2">
          <w:rPr>
            <w:rStyle w:val="Hyperlink"/>
            <w:rFonts w:ascii="Arial" w:hAnsi="Arial" w:cs="Arial"/>
            <w:sz w:val="28"/>
            <w:szCs w:val="28"/>
          </w:rPr>
          <w:t>https://core.ac.uk/display/74226478</w:t>
        </w:r>
      </w:hyperlink>
      <w:r w:rsidRPr="232E80A2">
        <w:rPr>
          <w:sz w:val="28"/>
          <w:szCs w:val="28"/>
        </w:rPr>
        <w:t xml:space="preserve"> </w:t>
      </w:r>
      <w:r w:rsidRPr="232E80A2">
        <w:rPr>
          <w:rFonts w:ascii="Arial" w:hAnsi="Arial" w:cs="Arial"/>
          <w:color w:val="2C3E50"/>
          <w:sz w:val="28"/>
          <w:szCs w:val="28"/>
          <w:shd w:val="clear" w:color="auto" w:fill="FFFFFF"/>
        </w:rPr>
        <w:t xml:space="preserve">Open access article </w:t>
      </w:r>
    </w:p>
    <w:p w14:paraId="0D42F5CC" w14:textId="77777777" w:rsidR="00EE65FD" w:rsidRPr="00CF5E89" w:rsidRDefault="00EE65FD" w:rsidP="232E80A2">
      <w:pPr>
        <w:pStyle w:val="ListParagraph"/>
        <w:shd w:val="clear" w:color="auto" w:fill="FFFFFF" w:themeFill="background1"/>
        <w:textAlignment w:val="baseline"/>
        <w:outlineLvl w:val="1"/>
        <w:rPr>
          <w:rFonts w:ascii="Arial" w:hAnsi="Arial" w:cs="Arial"/>
          <w:color w:val="2C3E50"/>
          <w:sz w:val="28"/>
          <w:szCs w:val="28"/>
          <w:shd w:val="clear" w:color="auto" w:fill="FFFFFF"/>
        </w:rPr>
      </w:pPr>
    </w:p>
    <w:p w14:paraId="569165C3" w14:textId="77777777" w:rsidR="00FC6E2F" w:rsidRPr="00CF5E89" w:rsidRDefault="00FC6E2F" w:rsidP="232E80A2">
      <w:pPr>
        <w:pStyle w:val="ListParagraph"/>
        <w:numPr>
          <w:ilvl w:val="0"/>
          <w:numId w:val="29"/>
        </w:numPr>
        <w:autoSpaceDE w:val="0"/>
        <w:autoSpaceDN w:val="0"/>
        <w:adjustRightInd w:val="0"/>
        <w:rPr>
          <w:rFonts w:ascii="Arial" w:hAnsi="Arial" w:cs="Arial"/>
          <w:color w:val="2C3E50"/>
          <w:sz w:val="28"/>
          <w:szCs w:val="28"/>
          <w:shd w:val="clear" w:color="auto" w:fill="FFFFFF"/>
        </w:rPr>
      </w:pPr>
      <w:r w:rsidRPr="232E80A2">
        <w:rPr>
          <w:rFonts w:ascii="Arial" w:hAnsi="Arial" w:cs="Arial"/>
          <w:color w:val="2C3E50"/>
          <w:sz w:val="28"/>
          <w:szCs w:val="28"/>
          <w:shd w:val="clear" w:color="auto" w:fill="FFFFFF"/>
        </w:rPr>
        <w:t xml:space="preserve">Zibaeenezhad, M.J., (2008) Association between periodontal disease and coronary artery disease, </w:t>
      </w:r>
      <w:r w:rsidRPr="111BCED9">
        <w:rPr>
          <w:rFonts w:ascii="Arial" w:hAnsi="Arial" w:cs="Arial"/>
          <w:i/>
          <w:iCs/>
          <w:color w:val="2C3E50"/>
          <w:sz w:val="28"/>
          <w:szCs w:val="28"/>
          <w:shd w:val="clear" w:color="auto" w:fill="FFFFFF"/>
        </w:rPr>
        <w:t>Central European Journal of Medicine</w:t>
      </w:r>
      <w:r w:rsidRPr="232E80A2">
        <w:rPr>
          <w:rFonts w:ascii="Arial" w:hAnsi="Arial" w:cs="Arial"/>
          <w:color w:val="2C3E50"/>
          <w:sz w:val="28"/>
          <w:szCs w:val="28"/>
          <w:shd w:val="clear" w:color="auto" w:fill="FFFFFF"/>
        </w:rPr>
        <w:t>, 3 (3), pp. 308-314</w:t>
      </w:r>
    </w:p>
    <w:p w14:paraId="5F8B1C22" w14:textId="455623F4" w:rsidR="111BCED9" w:rsidRDefault="111BCED9" w:rsidP="111BCED9">
      <w:pPr>
        <w:rPr>
          <w:rFonts w:ascii="Arial" w:hAnsi="Arial" w:cs="Arial"/>
          <w:color w:val="2C3E50"/>
          <w:sz w:val="28"/>
          <w:szCs w:val="28"/>
        </w:rPr>
      </w:pPr>
    </w:p>
    <w:p w14:paraId="1913AC19" w14:textId="55EF590E" w:rsidR="000A2390" w:rsidRPr="009B1854" w:rsidRDefault="000A2390" w:rsidP="232E80A2">
      <w:pPr>
        <w:pStyle w:val="NoSpacing"/>
        <w:spacing w:line="360" w:lineRule="auto"/>
        <w:rPr>
          <w:rFonts w:ascii="Arial" w:hAnsi="Arial" w:cs="Arial"/>
          <w:sz w:val="28"/>
          <w:szCs w:val="28"/>
        </w:rPr>
      </w:pPr>
    </w:p>
    <w:sectPr w:rsidR="000A2390" w:rsidRPr="009B1854" w:rsidSect="006D5D31">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6F875" w14:textId="77777777" w:rsidR="00F94A7C" w:rsidRDefault="00F94A7C" w:rsidP="00D666C2">
      <w:pPr>
        <w:spacing w:after="0" w:line="240" w:lineRule="auto"/>
      </w:pPr>
      <w:r>
        <w:separator/>
      </w:r>
    </w:p>
  </w:endnote>
  <w:endnote w:type="continuationSeparator" w:id="0">
    <w:p w14:paraId="1C3B2D23" w14:textId="77777777" w:rsidR="00F94A7C" w:rsidRDefault="00F94A7C" w:rsidP="00D6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2159B" w14:textId="77777777" w:rsidR="00364094" w:rsidRDefault="00364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490" w:type="dxa"/>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224"/>
      <w:gridCol w:w="2126"/>
    </w:tblGrid>
    <w:tr w:rsidR="00B94BE2" w:rsidRPr="009B1854" w14:paraId="4E256E83" w14:textId="77777777" w:rsidTr="003D1681">
      <w:tc>
        <w:tcPr>
          <w:tcW w:w="4140" w:type="dxa"/>
        </w:tcPr>
        <w:p w14:paraId="77D99060" w14:textId="10CC5DBE" w:rsidR="00B94BE2" w:rsidRPr="009B1854" w:rsidRDefault="005A5D7C" w:rsidP="00B94BE2">
          <w:pPr>
            <w:pStyle w:val="Footer"/>
            <w:tabs>
              <w:tab w:val="clear" w:pos="4513"/>
              <w:tab w:val="clear" w:pos="9026"/>
              <w:tab w:val="right" w:pos="4292"/>
            </w:tabs>
            <w:spacing w:before="60" w:after="60"/>
            <w:rPr>
              <w:rFonts w:ascii="Arial" w:hAnsi="Arial" w:cs="Arial"/>
              <w:sz w:val="16"/>
              <w:szCs w:val="16"/>
            </w:rPr>
          </w:pPr>
          <w:r>
            <w:rPr>
              <w:rFonts w:ascii="Arial" w:hAnsi="Arial" w:cs="Arial"/>
              <w:sz w:val="16"/>
              <w:szCs w:val="16"/>
            </w:rPr>
            <w:t>Produced</w:t>
          </w:r>
          <w:r w:rsidR="00B94BE2">
            <w:rPr>
              <w:rFonts w:ascii="Arial" w:hAnsi="Arial" w:cs="Arial"/>
              <w:sz w:val="16"/>
              <w:szCs w:val="16"/>
            </w:rPr>
            <w:t xml:space="preserve"> by LSBU Learning Development Team</w:t>
          </w:r>
          <w:r w:rsidR="004A798F">
            <w:rPr>
              <w:rFonts w:ascii="Arial" w:hAnsi="Arial" w:cs="Arial"/>
              <w:sz w:val="16"/>
              <w:szCs w:val="16"/>
            </w:rPr>
            <w:t xml:space="preserve"> </w:t>
          </w:r>
          <w:r w:rsidR="00E865E1">
            <w:rPr>
              <w:rFonts w:ascii="Arial" w:hAnsi="Arial" w:cs="Arial"/>
              <w:sz w:val="16"/>
              <w:szCs w:val="16"/>
            </w:rPr>
            <w:t>MM</w:t>
          </w:r>
        </w:p>
      </w:tc>
      <w:tc>
        <w:tcPr>
          <w:tcW w:w="4224" w:type="dxa"/>
        </w:tcPr>
        <w:p w14:paraId="70849B19" w14:textId="61AD001A" w:rsidR="00B94BE2" w:rsidRPr="009B1854" w:rsidRDefault="008571CB" w:rsidP="006D5D31">
          <w:pPr>
            <w:pStyle w:val="Footer"/>
            <w:tabs>
              <w:tab w:val="clear" w:pos="4513"/>
              <w:tab w:val="clear" w:pos="9026"/>
              <w:tab w:val="right" w:pos="4292"/>
            </w:tabs>
            <w:spacing w:before="60" w:after="60"/>
            <w:jc w:val="center"/>
            <w:rPr>
              <w:rFonts w:ascii="Arial" w:hAnsi="Arial" w:cs="Arial"/>
              <w:sz w:val="16"/>
              <w:szCs w:val="16"/>
            </w:rPr>
          </w:pPr>
          <w:r>
            <w:rPr>
              <w:rFonts w:ascii="Arial" w:hAnsi="Arial" w:cs="Arial"/>
              <w:sz w:val="16"/>
              <w:szCs w:val="16"/>
            </w:rPr>
            <w:t xml:space="preserve">Introduction to </w:t>
          </w:r>
          <w:r w:rsidR="006D5D31">
            <w:rPr>
              <w:rFonts w:ascii="Arial" w:hAnsi="Arial" w:cs="Arial"/>
              <w:sz w:val="16"/>
              <w:szCs w:val="16"/>
            </w:rPr>
            <w:t>Quantitative Analysis</w:t>
          </w:r>
          <w:r w:rsidR="003D1681">
            <w:rPr>
              <w:rFonts w:ascii="Arial" w:hAnsi="Arial" w:cs="Arial"/>
              <w:sz w:val="16"/>
              <w:szCs w:val="16"/>
            </w:rPr>
            <w:t xml:space="preserve"> Information Sheet</w:t>
          </w:r>
        </w:p>
      </w:tc>
      <w:tc>
        <w:tcPr>
          <w:tcW w:w="2126" w:type="dxa"/>
        </w:tcPr>
        <w:p w14:paraId="2A3F0166" w14:textId="77777777" w:rsidR="00B94BE2" w:rsidRPr="009B1854" w:rsidRDefault="00B94BE2" w:rsidP="009B1854">
          <w:pPr>
            <w:pStyle w:val="Footer"/>
            <w:spacing w:before="60" w:after="60"/>
            <w:jc w:val="right"/>
            <w:rPr>
              <w:rFonts w:ascii="Arial" w:hAnsi="Arial" w:cs="Arial"/>
              <w:sz w:val="16"/>
              <w:szCs w:val="16"/>
            </w:rPr>
          </w:pPr>
          <w:r w:rsidRPr="009B1854">
            <w:rPr>
              <w:rFonts w:ascii="Arial" w:hAnsi="Arial" w:cs="Arial"/>
              <w:sz w:val="16"/>
              <w:szCs w:val="16"/>
            </w:rPr>
            <w:t xml:space="preserve">Page </w:t>
          </w:r>
          <w:r w:rsidRPr="009B1854">
            <w:rPr>
              <w:rFonts w:ascii="Arial" w:hAnsi="Arial" w:cs="Arial"/>
              <w:sz w:val="16"/>
              <w:szCs w:val="16"/>
            </w:rPr>
            <w:fldChar w:fldCharType="begin"/>
          </w:r>
          <w:r w:rsidRPr="009B1854">
            <w:rPr>
              <w:rFonts w:ascii="Arial" w:hAnsi="Arial" w:cs="Arial"/>
              <w:sz w:val="16"/>
              <w:szCs w:val="16"/>
            </w:rPr>
            <w:instrText xml:space="preserve"> PAGE </w:instrText>
          </w:r>
          <w:r w:rsidRPr="009B1854">
            <w:rPr>
              <w:rFonts w:ascii="Arial" w:hAnsi="Arial" w:cs="Arial"/>
              <w:sz w:val="16"/>
              <w:szCs w:val="16"/>
            </w:rPr>
            <w:fldChar w:fldCharType="separate"/>
          </w:r>
          <w:r w:rsidR="00174A94">
            <w:rPr>
              <w:rFonts w:ascii="Arial" w:hAnsi="Arial" w:cs="Arial"/>
              <w:noProof/>
              <w:sz w:val="16"/>
              <w:szCs w:val="16"/>
            </w:rPr>
            <w:t>2</w:t>
          </w:r>
          <w:r w:rsidRPr="009B1854">
            <w:rPr>
              <w:rFonts w:ascii="Arial" w:hAnsi="Arial" w:cs="Arial"/>
              <w:sz w:val="16"/>
              <w:szCs w:val="16"/>
            </w:rPr>
            <w:fldChar w:fldCharType="end"/>
          </w:r>
          <w:r w:rsidRPr="009B1854">
            <w:rPr>
              <w:rFonts w:ascii="Arial" w:hAnsi="Arial" w:cs="Arial"/>
              <w:sz w:val="16"/>
              <w:szCs w:val="16"/>
            </w:rPr>
            <w:t xml:space="preserve"> of </w:t>
          </w:r>
          <w:r w:rsidRPr="009B1854">
            <w:rPr>
              <w:rFonts w:ascii="Arial" w:hAnsi="Arial" w:cs="Arial"/>
              <w:sz w:val="16"/>
              <w:szCs w:val="16"/>
            </w:rPr>
            <w:fldChar w:fldCharType="begin"/>
          </w:r>
          <w:r w:rsidRPr="009B1854">
            <w:rPr>
              <w:rFonts w:ascii="Arial" w:hAnsi="Arial" w:cs="Arial"/>
              <w:sz w:val="16"/>
              <w:szCs w:val="16"/>
            </w:rPr>
            <w:instrText xml:space="preserve"> NUMPAGES </w:instrText>
          </w:r>
          <w:r w:rsidRPr="009B1854">
            <w:rPr>
              <w:rFonts w:ascii="Arial" w:hAnsi="Arial" w:cs="Arial"/>
              <w:sz w:val="16"/>
              <w:szCs w:val="16"/>
            </w:rPr>
            <w:fldChar w:fldCharType="separate"/>
          </w:r>
          <w:r w:rsidR="00174A94">
            <w:rPr>
              <w:rFonts w:ascii="Arial" w:hAnsi="Arial" w:cs="Arial"/>
              <w:noProof/>
              <w:sz w:val="16"/>
              <w:szCs w:val="16"/>
            </w:rPr>
            <w:t>2</w:t>
          </w:r>
          <w:r w:rsidRPr="009B1854">
            <w:rPr>
              <w:rFonts w:ascii="Arial" w:hAnsi="Arial" w:cs="Arial"/>
              <w:sz w:val="16"/>
              <w:szCs w:val="16"/>
            </w:rPr>
            <w:fldChar w:fldCharType="end"/>
          </w:r>
        </w:p>
      </w:tc>
    </w:tr>
  </w:tbl>
  <w:p w14:paraId="0D0D63DF" w14:textId="77777777" w:rsidR="000A2390" w:rsidRDefault="000A23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44400" w14:textId="77777777" w:rsidR="00364094" w:rsidRDefault="00364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D9593" w14:textId="77777777" w:rsidR="00F94A7C" w:rsidRDefault="00F94A7C" w:rsidP="00D666C2">
      <w:pPr>
        <w:spacing w:after="0" w:line="240" w:lineRule="auto"/>
      </w:pPr>
      <w:r>
        <w:separator/>
      </w:r>
    </w:p>
  </w:footnote>
  <w:footnote w:type="continuationSeparator" w:id="0">
    <w:p w14:paraId="79ACEAF1" w14:textId="77777777" w:rsidR="00F94A7C" w:rsidRDefault="00F94A7C" w:rsidP="00D66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06AB1" w14:textId="77777777" w:rsidR="00364094" w:rsidRDefault="00364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4A9F" w14:textId="51E2E4A2" w:rsidR="00C03F7D" w:rsidRDefault="111BCED9">
    <w:pPr>
      <w:pStyle w:val="Header"/>
    </w:pPr>
    <w:r>
      <w:rPr>
        <w:noProof/>
      </w:rPr>
      <w:drawing>
        <wp:inline distT="0" distB="0" distL="0" distR="0" wp14:anchorId="0869F55E" wp14:editId="46D18855">
          <wp:extent cx="2057400" cy="809625"/>
          <wp:effectExtent l="0" t="0" r="0" b="9525"/>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id="{59CEC341-0B61-4567-9612-998D2CA76A6B}"/>
                      </a:ext>
                    </a:extLst>
                  </a:blip>
                  <a:stretch>
                    <a:fillRect/>
                  </a:stretch>
                </pic:blipFill>
                <pic:spPr>
                  <a:xfrm>
                    <a:off x="0" y="0"/>
                    <a:ext cx="2057400" cy="809625"/>
                  </a:xfrm>
                  <a:prstGeom prst="rect">
                    <a:avLst/>
                  </a:prstGeom>
                </pic:spPr>
              </pic:pic>
            </a:graphicData>
          </a:graphic>
        </wp:inline>
      </w:drawing>
    </w:r>
  </w:p>
  <w:p w14:paraId="1D8966C4" w14:textId="77777777" w:rsidR="00D666C2" w:rsidRDefault="00D66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17C84" w14:textId="77777777" w:rsidR="00364094" w:rsidRDefault="00364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69CC"/>
    <w:multiLevelType w:val="hybridMultilevel"/>
    <w:tmpl w:val="1D268D50"/>
    <w:lvl w:ilvl="0" w:tplc="6F2EA986">
      <w:start w:val="1"/>
      <w:numFmt w:val="lowerRoman"/>
      <w:lvlText w:val="%1)"/>
      <w:lvlJc w:val="left"/>
      <w:pPr>
        <w:ind w:left="1606" w:hanging="720"/>
      </w:pPr>
      <w:rPr>
        <w:rFonts w:hint="default"/>
      </w:r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1" w15:restartNumberingAfterBreak="0">
    <w:nsid w:val="057457E9"/>
    <w:multiLevelType w:val="hybridMultilevel"/>
    <w:tmpl w:val="C0ECB39A"/>
    <w:lvl w:ilvl="0" w:tplc="967EC9A8">
      <w:start w:val="1"/>
      <w:numFmt w:val="decimal"/>
      <w:lvlText w:val="%1)"/>
      <w:lvlJc w:val="left"/>
      <w:pPr>
        <w:ind w:left="720" w:hanging="360"/>
      </w:pPr>
    </w:lvl>
    <w:lvl w:ilvl="1" w:tplc="BAA4CD94">
      <w:start w:val="1"/>
      <w:numFmt w:val="lowerLetter"/>
      <w:lvlText w:val="%2."/>
      <w:lvlJc w:val="left"/>
      <w:pPr>
        <w:ind w:left="1440" w:hanging="360"/>
      </w:pPr>
    </w:lvl>
    <w:lvl w:ilvl="2" w:tplc="54DAB23C">
      <w:start w:val="1"/>
      <w:numFmt w:val="lowerRoman"/>
      <w:lvlText w:val="%3."/>
      <w:lvlJc w:val="right"/>
      <w:pPr>
        <w:ind w:left="2160" w:hanging="180"/>
      </w:pPr>
    </w:lvl>
    <w:lvl w:ilvl="3" w:tplc="54800C80">
      <w:start w:val="1"/>
      <w:numFmt w:val="decimal"/>
      <w:lvlText w:val="%4."/>
      <w:lvlJc w:val="left"/>
      <w:pPr>
        <w:ind w:left="2880" w:hanging="360"/>
      </w:pPr>
    </w:lvl>
    <w:lvl w:ilvl="4" w:tplc="F7DC4C78">
      <w:start w:val="1"/>
      <w:numFmt w:val="lowerLetter"/>
      <w:lvlText w:val="%5."/>
      <w:lvlJc w:val="left"/>
      <w:pPr>
        <w:ind w:left="3600" w:hanging="360"/>
      </w:pPr>
    </w:lvl>
    <w:lvl w:ilvl="5" w:tplc="ED36CD22">
      <w:start w:val="1"/>
      <w:numFmt w:val="lowerRoman"/>
      <w:lvlText w:val="%6."/>
      <w:lvlJc w:val="right"/>
      <w:pPr>
        <w:ind w:left="4320" w:hanging="180"/>
      </w:pPr>
    </w:lvl>
    <w:lvl w:ilvl="6" w:tplc="1F347910">
      <w:start w:val="1"/>
      <w:numFmt w:val="decimal"/>
      <w:lvlText w:val="%7."/>
      <w:lvlJc w:val="left"/>
      <w:pPr>
        <w:ind w:left="5040" w:hanging="360"/>
      </w:pPr>
    </w:lvl>
    <w:lvl w:ilvl="7" w:tplc="E0A849FA">
      <w:start w:val="1"/>
      <w:numFmt w:val="lowerLetter"/>
      <w:lvlText w:val="%8."/>
      <w:lvlJc w:val="left"/>
      <w:pPr>
        <w:ind w:left="5760" w:hanging="360"/>
      </w:pPr>
    </w:lvl>
    <w:lvl w:ilvl="8" w:tplc="85F0EB1E">
      <w:start w:val="1"/>
      <w:numFmt w:val="lowerRoman"/>
      <w:lvlText w:val="%9."/>
      <w:lvlJc w:val="right"/>
      <w:pPr>
        <w:ind w:left="6480" w:hanging="180"/>
      </w:pPr>
    </w:lvl>
  </w:abstractNum>
  <w:abstractNum w:abstractNumId="2" w15:restartNumberingAfterBreak="0">
    <w:nsid w:val="06371441"/>
    <w:multiLevelType w:val="hybridMultilevel"/>
    <w:tmpl w:val="8F5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26D48"/>
    <w:multiLevelType w:val="hybridMultilevel"/>
    <w:tmpl w:val="94E488E0"/>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1B53"/>
    <w:multiLevelType w:val="hybridMultilevel"/>
    <w:tmpl w:val="FD6C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17F4F"/>
    <w:multiLevelType w:val="hybridMultilevel"/>
    <w:tmpl w:val="7B3A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D02C0"/>
    <w:multiLevelType w:val="hybridMultilevel"/>
    <w:tmpl w:val="57BA1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47C2E"/>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62B1C"/>
    <w:multiLevelType w:val="hybridMultilevel"/>
    <w:tmpl w:val="FDFC74D0"/>
    <w:lvl w:ilvl="0" w:tplc="D59EB14A">
      <w:start w:val="1"/>
      <w:numFmt w:val="decimal"/>
      <w:lvlText w:val="%1."/>
      <w:lvlJc w:val="left"/>
      <w:pPr>
        <w:ind w:left="720" w:hanging="360"/>
      </w:pPr>
    </w:lvl>
    <w:lvl w:ilvl="1" w:tplc="ECCAB550">
      <w:start w:val="1"/>
      <w:numFmt w:val="lowerLetter"/>
      <w:lvlText w:val="%2."/>
      <w:lvlJc w:val="left"/>
      <w:pPr>
        <w:ind w:left="1440" w:hanging="360"/>
      </w:pPr>
    </w:lvl>
    <w:lvl w:ilvl="2" w:tplc="6400F10C">
      <w:start w:val="1"/>
      <w:numFmt w:val="lowerRoman"/>
      <w:lvlText w:val="%3."/>
      <w:lvlJc w:val="right"/>
      <w:pPr>
        <w:ind w:left="2160" w:hanging="180"/>
      </w:pPr>
    </w:lvl>
    <w:lvl w:ilvl="3" w:tplc="0FE2CCE8">
      <w:start w:val="1"/>
      <w:numFmt w:val="decimal"/>
      <w:lvlText w:val="%4."/>
      <w:lvlJc w:val="left"/>
      <w:pPr>
        <w:ind w:left="2880" w:hanging="360"/>
      </w:pPr>
    </w:lvl>
    <w:lvl w:ilvl="4" w:tplc="5A34003E">
      <w:start w:val="1"/>
      <w:numFmt w:val="lowerLetter"/>
      <w:lvlText w:val="%5."/>
      <w:lvlJc w:val="left"/>
      <w:pPr>
        <w:ind w:left="3600" w:hanging="360"/>
      </w:pPr>
    </w:lvl>
    <w:lvl w:ilvl="5" w:tplc="9E2218BE">
      <w:start w:val="1"/>
      <w:numFmt w:val="lowerRoman"/>
      <w:lvlText w:val="%6."/>
      <w:lvlJc w:val="right"/>
      <w:pPr>
        <w:ind w:left="4320" w:hanging="180"/>
      </w:pPr>
    </w:lvl>
    <w:lvl w:ilvl="6" w:tplc="ABF8E080">
      <w:start w:val="1"/>
      <w:numFmt w:val="decimal"/>
      <w:lvlText w:val="%7."/>
      <w:lvlJc w:val="left"/>
      <w:pPr>
        <w:ind w:left="5040" w:hanging="360"/>
      </w:pPr>
    </w:lvl>
    <w:lvl w:ilvl="7" w:tplc="2A7E83FE">
      <w:start w:val="1"/>
      <w:numFmt w:val="lowerLetter"/>
      <w:lvlText w:val="%8."/>
      <w:lvlJc w:val="left"/>
      <w:pPr>
        <w:ind w:left="5760" w:hanging="360"/>
      </w:pPr>
    </w:lvl>
    <w:lvl w:ilvl="8" w:tplc="45B6ADD2">
      <w:start w:val="1"/>
      <w:numFmt w:val="lowerRoman"/>
      <w:lvlText w:val="%9."/>
      <w:lvlJc w:val="right"/>
      <w:pPr>
        <w:ind w:left="6480" w:hanging="180"/>
      </w:pPr>
    </w:lvl>
  </w:abstractNum>
  <w:abstractNum w:abstractNumId="9" w15:restartNumberingAfterBreak="0">
    <w:nsid w:val="16AE4993"/>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99070C"/>
    <w:multiLevelType w:val="hybridMultilevel"/>
    <w:tmpl w:val="8186838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D1B7C"/>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41AC3"/>
    <w:multiLevelType w:val="hybridMultilevel"/>
    <w:tmpl w:val="0A5CB4AE"/>
    <w:lvl w:ilvl="0" w:tplc="A956ECB8">
      <w:start w:val="2"/>
      <w:numFmt w:val="lowerRoman"/>
      <w:lvlText w:val="%1)"/>
      <w:lvlJc w:val="left"/>
      <w:pPr>
        <w:ind w:left="2020" w:hanging="720"/>
      </w:pPr>
      <w:rPr>
        <w:rFonts w:hint="default"/>
      </w:rPr>
    </w:lvl>
    <w:lvl w:ilvl="1" w:tplc="08090019" w:tentative="1">
      <w:start w:val="1"/>
      <w:numFmt w:val="lowerLetter"/>
      <w:lvlText w:val="%2."/>
      <w:lvlJc w:val="left"/>
      <w:pPr>
        <w:ind w:left="2380" w:hanging="360"/>
      </w:pPr>
    </w:lvl>
    <w:lvl w:ilvl="2" w:tplc="0809001B" w:tentative="1">
      <w:start w:val="1"/>
      <w:numFmt w:val="lowerRoman"/>
      <w:lvlText w:val="%3."/>
      <w:lvlJc w:val="right"/>
      <w:pPr>
        <w:ind w:left="3100" w:hanging="180"/>
      </w:pPr>
    </w:lvl>
    <w:lvl w:ilvl="3" w:tplc="0809000F" w:tentative="1">
      <w:start w:val="1"/>
      <w:numFmt w:val="decimal"/>
      <w:lvlText w:val="%4."/>
      <w:lvlJc w:val="left"/>
      <w:pPr>
        <w:ind w:left="3820" w:hanging="360"/>
      </w:pPr>
    </w:lvl>
    <w:lvl w:ilvl="4" w:tplc="08090019" w:tentative="1">
      <w:start w:val="1"/>
      <w:numFmt w:val="lowerLetter"/>
      <w:lvlText w:val="%5."/>
      <w:lvlJc w:val="left"/>
      <w:pPr>
        <w:ind w:left="4540" w:hanging="360"/>
      </w:pPr>
    </w:lvl>
    <w:lvl w:ilvl="5" w:tplc="0809001B" w:tentative="1">
      <w:start w:val="1"/>
      <w:numFmt w:val="lowerRoman"/>
      <w:lvlText w:val="%6."/>
      <w:lvlJc w:val="right"/>
      <w:pPr>
        <w:ind w:left="5260" w:hanging="180"/>
      </w:pPr>
    </w:lvl>
    <w:lvl w:ilvl="6" w:tplc="0809000F" w:tentative="1">
      <w:start w:val="1"/>
      <w:numFmt w:val="decimal"/>
      <w:lvlText w:val="%7."/>
      <w:lvlJc w:val="left"/>
      <w:pPr>
        <w:ind w:left="5980" w:hanging="360"/>
      </w:pPr>
    </w:lvl>
    <w:lvl w:ilvl="7" w:tplc="08090019" w:tentative="1">
      <w:start w:val="1"/>
      <w:numFmt w:val="lowerLetter"/>
      <w:lvlText w:val="%8."/>
      <w:lvlJc w:val="left"/>
      <w:pPr>
        <w:ind w:left="6700" w:hanging="360"/>
      </w:pPr>
    </w:lvl>
    <w:lvl w:ilvl="8" w:tplc="0809001B" w:tentative="1">
      <w:start w:val="1"/>
      <w:numFmt w:val="lowerRoman"/>
      <w:lvlText w:val="%9."/>
      <w:lvlJc w:val="right"/>
      <w:pPr>
        <w:ind w:left="7420" w:hanging="180"/>
      </w:pPr>
    </w:lvl>
  </w:abstractNum>
  <w:abstractNum w:abstractNumId="13" w15:restartNumberingAfterBreak="0">
    <w:nsid w:val="32A06094"/>
    <w:multiLevelType w:val="hybridMultilevel"/>
    <w:tmpl w:val="C0ECB39A"/>
    <w:lvl w:ilvl="0" w:tplc="967EC9A8">
      <w:start w:val="1"/>
      <w:numFmt w:val="decimal"/>
      <w:lvlText w:val="%1)"/>
      <w:lvlJc w:val="left"/>
      <w:pPr>
        <w:ind w:left="720" w:hanging="360"/>
      </w:pPr>
    </w:lvl>
    <w:lvl w:ilvl="1" w:tplc="BAA4CD94">
      <w:start w:val="1"/>
      <w:numFmt w:val="lowerLetter"/>
      <w:lvlText w:val="%2."/>
      <w:lvlJc w:val="left"/>
      <w:pPr>
        <w:ind w:left="1440" w:hanging="360"/>
      </w:pPr>
    </w:lvl>
    <w:lvl w:ilvl="2" w:tplc="54DAB23C">
      <w:start w:val="1"/>
      <w:numFmt w:val="lowerRoman"/>
      <w:lvlText w:val="%3."/>
      <w:lvlJc w:val="right"/>
      <w:pPr>
        <w:ind w:left="2160" w:hanging="180"/>
      </w:pPr>
    </w:lvl>
    <w:lvl w:ilvl="3" w:tplc="54800C80">
      <w:start w:val="1"/>
      <w:numFmt w:val="decimal"/>
      <w:lvlText w:val="%4."/>
      <w:lvlJc w:val="left"/>
      <w:pPr>
        <w:ind w:left="2880" w:hanging="360"/>
      </w:pPr>
    </w:lvl>
    <w:lvl w:ilvl="4" w:tplc="F7DC4C78">
      <w:start w:val="1"/>
      <w:numFmt w:val="lowerLetter"/>
      <w:lvlText w:val="%5."/>
      <w:lvlJc w:val="left"/>
      <w:pPr>
        <w:ind w:left="3600" w:hanging="360"/>
      </w:pPr>
    </w:lvl>
    <w:lvl w:ilvl="5" w:tplc="ED36CD22">
      <w:start w:val="1"/>
      <w:numFmt w:val="lowerRoman"/>
      <w:lvlText w:val="%6."/>
      <w:lvlJc w:val="right"/>
      <w:pPr>
        <w:ind w:left="4320" w:hanging="180"/>
      </w:pPr>
    </w:lvl>
    <w:lvl w:ilvl="6" w:tplc="1F347910">
      <w:start w:val="1"/>
      <w:numFmt w:val="decimal"/>
      <w:lvlText w:val="%7."/>
      <w:lvlJc w:val="left"/>
      <w:pPr>
        <w:ind w:left="5040" w:hanging="360"/>
      </w:pPr>
    </w:lvl>
    <w:lvl w:ilvl="7" w:tplc="E0A849FA">
      <w:start w:val="1"/>
      <w:numFmt w:val="lowerLetter"/>
      <w:lvlText w:val="%8."/>
      <w:lvlJc w:val="left"/>
      <w:pPr>
        <w:ind w:left="5760" w:hanging="360"/>
      </w:pPr>
    </w:lvl>
    <w:lvl w:ilvl="8" w:tplc="85F0EB1E">
      <w:start w:val="1"/>
      <w:numFmt w:val="lowerRoman"/>
      <w:lvlText w:val="%9."/>
      <w:lvlJc w:val="right"/>
      <w:pPr>
        <w:ind w:left="6480" w:hanging="180"/>
      </w:pPr>
    </w:lvl>
  </w:abstractNum>
  <w:abstractNum w:abstractNumId="14" w15:restartNumberingAfterBreak="0">
    <w:nsid w:val="370F083E"/>
    <w:multiLevelType w:val="hybridMultilevel"/>
    <w:tmpl w:val="AF2CD2DE"/>
    <w:lvl w:ilvl="0" w:tplc="0DCEE6C2">
      <w:start w:val="1"/>
      <w:numFmt w:val="bullet"/>
      <w:lvlText w:val=""/>
      <w:lvlJc w:val="left"/>
      <w:pPr>
        <w:ind w:left="720" w:hanging="360"/>
      </w:pPr>
      <w:rPr>
        <w:rFonts w:ascii="Symbol" w:hAnsi="Symbol" w:hint="default"/>
      </w:rPr>
    </w:lvl>
    <w:lvl w:ilvl="1" w:tplc="54F23A16">
      <w:start w:val="1"/>
      <w:numFmt w:val="bullet"/>
      <w:lvlText w:val="o"/>
      <w:lvlJc w:val="left"/>
      <w:pPr>
        <w:ind w:left="1440" w:hanging="360"/>
      </w:pPr>
      <w:rPr>
        <w:rFonts w:ascii="Courier New" w:hAnsi="Courier New" w:hint="default"/>
      </w:rPr>
    </w:lvl>
    <w:lvl w:ilvl="2" w:tplc="B3C4D3B6">
      <w:start w:val="1"/>
      <w:numFmt w:val="bullet"/>
      <w:lvlText w:val=""/>
      <w:lvlJc w:val="left"/>
      <w:pPr>
        <w:ind w:left="2160" w:hanging="360"/>
      </w:pPr>
      <w:rPr>
        <w:rFonts w:ascii="Wingdings" w:hAnsi="Wingdings" w:hint="default"/>
      </w:rPr>
    </w:lvl>
    <w:lvl w:ilvl="3" w:tplc="ADCAC68A">
      <w:start w:val="1"/>
      <w:numFmt w:val="bullet"/>
      <w:lvlText w:val=""/>
      <w:lvlJc w:val="left"/>
      <w:pPr>
        <w:ind w:left="2880" w:hanging="360"/>
      </w:pPr>
      <w:rPr>
        <w:rFonts w:ascii="Symbol" w:hAnsi="Symbol" w:hint="default"/>
      </w:rPr>
    </w:lvl>
    <w:lvl w:ilvl="4" w:tplc="40F2F8AA">
      <w:start w:val="1"/>
      <w:numFmt w:val="bullet"/>
      <w:lvlText w:val="o"/>
      <w:lvlJc w:val="left"/>
      <w:pPr>
        <w:ind w:left="3600" w:hanging="360"/>
      </w:pPr>
      <w:rPr>
        <w:rFonts w:ascii="Courier New" w:hAnsi="Courier New" w:hint="default"/>
      </w:rPr>
    </w:lvl>
    <w:lvl w:ilvl="5" w:tplc="27AA23D4">
      <w:start w:val="1"/>
      <w:numFmt w:val="bullet"/>
      <w:lvlText w:val=""/>
      <w:lvlJc w:val="left"/>
      <w:pPr>
        <w:ind w:left="4320" w:hanging="360"/>
      </w:pPr>
      <w:rPr>
        <w:rFonts w:ascii="Wingdings" w:hAnsi="Wingdings" w:hint="default"/>
      </w:rPr>
    </w:lvl>
    <w:lvl w:ilvl="6" w:tplc="FC34E534">
      <w:start w:val="1"/>
      <w:numFmt w:val="bullet"/>
      <w:lvlText w:val=""/>
      <w:lvlJc w:val="left"/>
      <w:pPr>
        <w:ind w:left="5040" w:hanging="360"/>
      </w:pPr>
      <w:rPr>
        <w:rFonts w:ascii="Symbol" w:hAnsi="Symbol" w:hint="default"/>
      </w:rPr>
    </w:lvl>
    <w:lvl w:ilvl="7" w:tplc="AFCA73C2">
      <w:start w:val="1"/>
      <w:numFmt w:val="bullet"/>
      <w:lvlText w:val="o"/>
      <w:lvlJc w:val="left"/>
      <w:pPr>
        <w:ind w:left="5760" w:hanging="360"/>
      </w:pPr>
      <w:rPr>
        <w:rFonts w:ascii="Courier New" w:hAnsi="Courier New" w:hint="default"/>
      </w:rPr>
    </w:lvl>
    <w:lvl w:ilvl="8" w:tplc="3E3E656E">
      <w:start w:val="1"/>
      <w:numFmt w:val="bullet"/>
      <w:lvlText w:val=""/>
      <w:lvlJc w:val="left"/>
      <w:pPr>
        <w:ind w:left="6480" w:hanging="360"/>
      </w:pPr>
      <w:rPr>
        <w:rFonts w:ascii="Wingdings" w:hAnsi="Wingdings" w:hint="default"/>
      </w:rPr>
    </w:lvl>
  </w:abstractNum>
  <w:abstractNum w:abstractNumId="15" w15:restartNumberingAfterBreak="0">
    <w:nsid w:val="39D61337"/>
    <w:multiLevelType w:val="hybridMultilevel"/>
    <w:tmpl w:val="D6C2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C13CB"/>
    <w:multiLevelType w:val="hybridMultilevel"/>
    <w:tmpl w:val="18CA82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3407F"/>
    <w:multiLevelType w:val="hybridMultilevel"/>
    <w:tmpl w:val="EFC622C2"/>
    <w:lvl w:ilvl="0" w:tplc="ED020236">
      <w:start w:val="1"/>
      <w:numFmt w:val="bullet"/>
      <w:lvlText w:val=""/>
      <w:lvlJc w:val="left"/>
      <w:pPr>
        <w:ind w:left="720" w:hanging="360"/>
      </w:pPr>
      <w:rPr>
        <w:rFonts w:ascii="Symbol" w:hAnsi="Symbol" w:hint="default"/>
      </w:rPr>
    </w:lvl>
    <w:lvl w:ilvl="1" w:tplc="1B140EAC">
      <w:start w:val="1"/>
      <w:numFmt w:val="bullet"/>
      <w:lvlText w:val="o"/>
      <w:lvlJc w:val="left"/>
      <w:pPr>
        <w:ind w:left="1440" w:hanging="360"/>
      </w:pPr>
      <w:rPr>
        <w:rFonts w:ascii="Courier New" w:hAnsi="Courier New" w:hint="default"/>
      </w:rPr>
    </w:lvl>
    <w:lvl w:ilvl="2" w:tplc="2E8E8572">
      <w:start w:val="1"/>
      <w:numFmt w:val="bullet"/>
      <w:lvlText w:val=""/>
      <w:lvlJc w:val="left"/>
      <w:pPr>
        <w:ind w:left="2160" w:hanging="360"/>
      </w:pPr>
      <w:rPr>
        <w:rFonts w:ascii="Wingdings" w:hAnsi="Wingdings" w:hint="default"/>
      </w:rPr>
    </w:lvl>
    <w:lvl w:ilvl="3" w:tplc="D7CE8A1E">
      <w:start w:val="1"/>
      <w:numFmt w:val="bullet"/>
      <w:lvlText w:val=""/>
      <w:lvlJc w:val="left"/>
      <w:pPr>
        <w:ind w:left="2880" w:hanging="360"/>
      </w:pPr>
      <w:rPr>
        <w:rFonts w:ascii="Symbol" w:hAnsi="Symbol" w:hint="default"/>
      </w:rPr>
    </w:lvl>
    <w:lvl w:ilvl="4" w:tplc="3C247E22">
      <w:start w:val="1"/>
      <w:numFmt w:val="bullet"/>
      <w:lvlText w:val="o"/>
      <w:lvlJc w:val="left"/>
      <w:pPr>
        <w:ind w:left="3600" w:hanging="360"/>
      </w:pPr>
      <w:rPr>
        <w:rFonts w:ascii="Courier New" w:hAnsi="Courier New" w:hint="default"/>
      </w:rPr>
    </w:lvl>
    <w:lvl w:ilvl="5" w:tplc="7CDECCEC">
      <w:start w:val="1"/>
      <w:numFmt w:val="bullet"/>
      <w:lvlText w:val=""/>
      <w:lvlJc w:val="left"/>
      <w:pPr>
        <w:ind w:left="4320" w:hanging="360"/>
      </w:pPr>
      <w:rPr>
        <w:rFonts w:ascii="Wingdings" w:hAnsi="Wingdings" w:hint="default"/>
      </w:rPr>
    </w:lvl>
    <w:lvl w:ilvl="6" w:tplc="F190D3A2">
      <w:start w:val="1"/>
      <w:numFmt w:val="bullet"/>
      <w:lvlText w:val=""/>
      <w:lvlJc w:val="left"/>
      <w:pPr>
        <w:ind w:left="5040" w:hanging="360"/>
      </w:pPr>
      <w:rPr>
        <w:rFonts w:ascii="Symbol" w:hAnsi="Symbol" w:hint="default"/>
      </w:rPr>
    </w:lvl>
    <w:lvl w:ilvl="7" w:tplc="988CA590">
      <w:start w:val="1"/>
      <w:numFmt w:val="bullet"/>
      <w:lvlText w:val="o"/>
      <w:lvlJc w:val="left"/>
      <w:pPr>
        <w:ind w:left="5760" w:hanging="360"/>
      </w:pPr>
      <w:rPr>
        <w:rFonts w:ascii="Courier New" w:hAnsi="Courier New" w:hint="default"/>
      </w:rPr>
    </w:lvl>
    <w:lvl w:ilvl="8" w:tplc="2E2259B8">
      <w:start w:val="1"/>
      <w:numFmt w:val="bullet"/>
      <w:lvlText w:val=""/>
      <w:lvlJc w:val="left"/>
      <w:pPr>
        <w:ind w:left="6480" w:hanging="360"/>
      </w:pPr>
      <w:rPr>
        <w:rFonts w:ascii="Wingdings" w:hAnsi="Wingdings" w:hint="default"/>
      </w:rPr>
    </w:lvl>
  </w:abstractNum>
  <w:abstractNum w:abstractNumId="18" w15:restartNumberingAfterBreak="0">
    <w:nsid w:val="442A4C64"/>
    <w:multiLevelType w:val="hybridMultilevel"/>
    <w:tmpl w:val="4A0E86E0"/>
    <w:lvl w:ilvl="0" w:tplc="92B49D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95895"/>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F283C"/>
    <w:multiLevelType w:val="hybridMultilevel"/>
    <w:tmpl w:val="9A682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7E0E2A"/>
    <w:multiLevelType w:val="hybridMultilevel"/>
    <w:tmpl w:val="18CA82C6"/>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3160D"/>
    <w:multiLevelType w:val="hybridMultilevel"/>
    <w:tmpl w:val="6F30ED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4371CD"/>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CF2036"/>
    <w:multiLevelType w:val="hybridMultilevel"/>
    <w:tmpl w:val="D56A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677C4"/>
    <w:multiLevelType w:val="hybridMultilevel"/>
    <w:tmpl w:val="E0D0125C"/>
    <w:lvl w:ilvl="0" w:tplc="967EC9A8">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54DAB23C">
      <w:start w:val="1"/>
      <w:numFmt w:val="lowerRoman"/>
      <w:lvlText w:val="%3."/>
      <w:lvlJc w:val="right"/>
      <w:pPr>
        <w:ind w:left="2160" w:hanging="180"/>
      </w:pPr>
    </w:lvl>
    <w:lvl w:ilvl="3" w:tplc="54800C80">
      <w:start w:val="1"/>
      <w:numFmt w:val="decimal"/>
      <w:lvlText w:val="%4."/>
      <w:lvlJc w:val="left"/>
      <w:pPr>
        <w:ind w:left="2880" w:hanging="360"/>
      </w:pPr>
    </w:lvl>
    <w:lvl w:ilvl="4" w:tplc="F7DC4C78">
      <w:start w:val="1"/>
      <w:numFmt w:val="lowerLetter"/>
      <w:lvlText w:val="%5."/>
      <w:lvlJc w:val="left"/>
      <w:pPr>
        <w:ind w:left="3600" w:hanging="360"/>
      </w:pPr>
    </w:lvl>
    <w:lvl w:ilvl="5" w:tplc="ED36CD22">
      <w:start w:val="1"/>
      <w:numFmt w:val="lowerRoman"/>
      <w:lvlText w:val="%6."/>
      <w:lvlJc w:val="right"/>
      <w:pPr>
        <w:ind w:left="4320" w:hanging="180"/>
      </w:pPr>
    </w:lvl>
    <w:lvl w:ilvl="6" w:tplc="1F347910">
      <w:start w:val="1"/>
      <w:numFmt w:val="decimal"/>
      <w:lvlText w:val="%7."/>
      <w:lvlJc w:val="left"/>
      <w:pPr>
        <w:ind w:left="5040" w:hanging="360"/>
      </w:pPr>
    </w:lvl>
    <w:lvl w:ilvl="7" w:tplc="E0A849FA">
      <w:start w:val="1"/>
      <w:numFmt w:val="lowerLetter"/>
      <w:lvlText w:val="%8."/>
      <w:lvlJc w:val="left"/>
      <w:pPr>
        <w:ind w:left="5760" w:hanging="360"/>
      </w:pPr>
    </w:lvl>
    <w:lvl w:ilvl="8" w:tplc="85F0EB1E">
      <w:start w:val="1"/>
      <w:numFmt w:val="lowerRoman"/>
      <w:lvlText w:val="%9."/>
      <w:lvlJc w:val="right"/>
      <w:pPr>
        <w:ind w:left="6480" w:hanging="180"/>
      </w:pPr>
    </w:lvl>
  </w:abstractNum>
  <w:abstractNum w:abstractNumId="26" w15:restartNumberingAfterBreak="0">
    <w:nsid w:val="6E1E4166"/>
    <w:multiLevelType w:val="hybridMultilevel"/>
    <w:tmpl w:val="BE5422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96038F"/>
    <w:multiLevelType w:val="hybridMultilevel"/>
    <w:tmpl w:val="551E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7"/>
  </w:num>
  <w:num w:numId="4">
    <w:abstractNumId w:val="13"/>
  </w:num>
  <w:num w:numId="5">
    <w:abstractNumId w:val="4"/>
  </w:num>
  <w:num w:numId="6">
    <w:abstractNumId w:val="10"/>
  </w:num>
  <w:num w:numId="7">
    <w:abstractNumId w:val="6"/>
  </w:num>
  <w:num w:numId="8">
    <w:abstractNumId w:val="18"/>
  </w:num>
  <w:num w:numId="9">
    <w:abstractNumId w:val="11"/>
  </w:num>
  <w:num w:numId="10">
    <w:abstractNumId w:val="3"/>
  </w:num>
  <w:num w:numId="11">
    <w:abstractNumId w:val="26"/>
  </w:num>
  <w:num w:numId="12">
    <w:abstractNumId w:val="7"/>
  </w:num>
  <w:num w:numId="13">
    <w:abstractNumId w:val="23"/>
  </w:num>
  <w:num w:numId="14">
    <w:abstractNumId w:val="19"/>
  </w:num>
  <w:num w:numId="15">
    <w:abstractNumId w:val="2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num>
  <w:num w:numId="19">
    <w:abstractNumId w:val="12"/>
  </w:num>
  <w:num w:numId="20">
    <w:abstractNumId w:val="0"/>
  </w:num>
  <w:num w:numId="21">
    <w:abstractNumId w:val="24"/>
  </w:num>
  <w:num w:numId="22">
    <w:abstractNumId w:val="2"/>
  </w:num>
  <w:num w:numId="23">
    <w:abstractNumId w:val="20"/>
  </w:num>
  <w:num w:numId="24">
    <w:abstractNumId w:val="5"/>
  </w:num>
  <w:num w:numId="25">
    <w:abstractNumId w:val="25"/>
  </w:num>
  <w:num w:numId="26">
    <w:abstractNumId w:val="1"/>
  </w:num>
  <w:num w:numId="27">
    <w:abstractNumId w:val="2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3C"/>
    <w:rsid w:val="00025523"/>
    <w:rsid w:val="0003337A"/>
    <w:rsid w:val="00090980"/>
    <w:rsid w:val="00095FBC"/>
    <w:rsid w:val="000978FC"/>
    <w:rsid w:val="000A2390"/>
    <w:rsid w:val="000A30A7"/>
    <w:rsid w:val="000C0875"/>
    <w:rsid w:val="000C693C"/>
    <w:rsid w:val="001023A1"/>
    <w:rsid w:val="00107C62"/>
    <w:rsid w:val="0016769F"/>
    <w:rsid w:val="00174A94"/>
    <w:rsid w:val="001A5977"/>
    <w:rsid w:val="001D3180"/>
    <w:rsid w:val="001D55E6"/>
    <w:rsid w:val="00205D5D"/>
    <w:rsid w:val="00220729"/>
    <w:rsid w:val="00224243"/>
    <w:rsid w:val="00232397"/>
    <w:rsid w:val="00240429"/>
    <w:rsid w:val="00251B09"/>
    <w:rsid w:val="00264B3B"/>
    <w:rsid w:val="002A31DF"/>
    <w:rsid w:val="002C4072"/>
    <w:rsid w:val="002D1CCA"/>
    <w:rsid w:val="003118ED"/>
    <w:rsid w:val="00327882"/>
    <w:rsid w:val="00364094"/>
    <w:rsid w:val="00375E2F"/>
    <w:rsid w:val="00376A4C"/>
    <w:rsid w:val="00387349"/>
    <w:rsid w:val="003A45B6"/>
    <w:rsid w:val="003B3EBE"/>
    <w:rsid w:val="003D1681"/>
    <w:rsid w:val="003F2987"/>
    <w:rsid w:val="003F3647"/>
    <w:rsid w:val="004012CE"/>
    <w:rsid w:val="0042398B"/>
    <w:rsid w:val="00425DC3"/>
    <w:rsid w:val="00426D90"/>
    <w:rsid w:val="00436C8C"/>
    <w:rsid w:val="00437A75"/>
    <w:rsid w:val="004435BD"/>
    <w:rsid w:val="004533A3"/>
    <w:rsid w:val="00455ADC"/>
    <w:rsid w:val="00457D8A"/>
    <w:rsid w:val="00474DD2"/>
    <w:rsid w:val="004A798F"/>
    <w:rsid w:val="004C1AA4"/>
    <w:rsid w:val="004F557C"/>
    <w:rsid w:val="005203D7"/>
    <w:rsid w:val="0054300E"/>
    <w:rsid w:val="00557A14"/>
    <w:rsid w:val="00567E44"/>
    <w:rsid w:val="005715E7"/>
    <w:rsid w:val="005809A9"/>
    <w:rsid w:val="00596611"/>
    <w:rsid w:val="005A5D7C"/>
    <w:rsid w:val="00600127"/>
    <w:rsid w:val="0060077E"/>
    <w:rsid w:val="00635D67"/>
    <w:rsid w:val="00685647"/>
    <w:rsid w:val="00691E1A"/>
    <w:rsid w:val="006A0FFA"/>
    <w:rsid w:val="006C1E55"/>
    <w:rsid w:val="006D5D31"/>
    <w:rsid w:val="006E3012"/>
    <w:rsid w:val="006F069C"/>
    <w:rsid w:val="006F7274"/>
    <w:rsid w:val="006F7799"/>
    <w:rsid w:val="00726ED7"/>
    <w:rsid w:val="00731AF0"/>
    <w:rsid w:val="00734940"/>
    <w:rsid w:val="0076360D"/>
    <w:rsid w:val="00780F33"/>
    <w:rsid w:val="007955C5"/>
    <w:rsid w:val="007A37B9"/>
    <w:rsid w:val="007B4AD5"/>
    <w:rsid w:val="007E3C41"/>
    <w:rsid w:val="008179BD"/>
    <w:rsid w:val="00833D13"/>
    <w:rsid w:val="008410A5"/>
    <w:rsid w:val="008571CB"/>
    <w:rsid w:val="0086646F"/>
    <w:rsid w:val="00867299"/>
    <w:rsid w:val="00867D35"/>
    <w:rsid w:val="00874671"/>
    <w:rsid w:val="008A6975"/>
    <w:rsid w:val="008B2E0D"/>
    <w:rsid w:val="008B3168"/>
    <w:rsid w:val="008B39FC"/>
    <w:rsid w:val="008B7C61"/>
    <w:rsid w:val="00916C66"/>
    <w:rsid w:val="0093203B"/>
    <w:rsid w:val="00942491"/>
    <w:rsid w:val="0099377B"/>
    <w:rsid w:val="009B1854"/>
    <w:rsid w:val="009C6437"/>
    <w:rsid w:val="009D1867"/>
    <w:rsid w:val="009D192C"/>
    <w:rsid w:val="009E1A68"/>
    <w:rsid w:val="00A10075"/>
    <w:rsid w:val="00A403C0"/>
    <w:rsid w:val="00A41443"/>
    <w:rsid w:val="00AD1C3B"/>
    <w:rsid w:val="00AF0B44"/>
    <w:rsid w:val="00AF0EA3"/>
    <w:rsid w:val="00AF27BB"/>
    <w:rsid w:val="00B014D9"/>
    <w:rsid w:val="00B34C51"/>
    <w:rsid w:val="00B37675"/>
    <w:rsid w:val="00B477E9"/>
    <w:rsid w:val="00B64C48"/>
    <w:rsid w:val="00B87F7F"/>
    <w:rsid w:val="00B94BE2"/>
    <w:rsid w:val="00BA0BEB"/>
    <w:rsid w:val="00BB10C6"/>
    <w:rsid w:val="00BC541A"/>
    <w:rsid w:val="00BC6883"/>
    <w:rsid w:val="00BD5A3A"/>
    <w:rsid w:val="00BE6960"/>
    <w:rsid w:val="00BF6657"/>
    <w:rsid w:val="00C03F7D"/>
    <w:rsid w:val="00C04289"/>
    <w:rsid w:val="00C048E9"/>
    <w:rsid w:val="00C54AD3"/>
    <w:rsid w:val="00C82D70"/>
    <w:rsid w:val="00C87DD2"/>
    <w:rsid w:val="00CA1778"/>
    <w:rsid w:val="00CB4670"/>
    <w:rsid w:val="00CB7CB7"/>
    <w:rsid w:val="00CE699F"/>
    <w:rsid w:val="00CF5E89"/>
    <w:rsid w:val="00D415BD"/>
    <w:rsid w:val="00D417F8"/>
    <w:rsid w:val="00D4549F"/>
    <w:rsid w:val="00D57D4F"/>
    <w:rsid w:val="00D666C2"/>
    <w:rsid w:val="00DA13EB"/>
    <w:rsid w:val="00DB1357"/>
    <w:rsid w:val="00DC70A7"/>
    <w:rsid w:val="00DD0816"/>
    <w:rsid w:val="00DE4D21"/>
    <w:rsid w:val="00DF33A7"/>
    <w:rsid w:val="00DF7B2A"/>
    <w:rsid w:val="00E0343C"/>
    <w:rsid w:val="00E3167B"/>
    <w:rsid w:val="00E5482A"/>
    <w:rsid w:val="00E6102D"/>
    <w:rsid w:val="00E812D6"/>
    <w:rsid w:val="00E865E1"/>
    <w:rsid w:val="00E90143"/>
    <w:rsid w:val="00E94D42"/>
    <w:rsid w:val="00ED052C"/>
    <w:rsid w:val="00EE65FD"/>
    <w:rsid w:val="00EF229B"/>
    <w:rsid w:val="00F15084"/>
    <w:rsid w:val="00F150D6"/>
    <w:rsid w:val="00F207DB"/>
    <w:rsid w:val="00F211C3"/>
    <w:rsid w:val="00F34EB4"/>
    <w:rsid w:val="00F3672D"/>
    <w:rsid w:val="00F432A4"/>
    <w:rsid w:val="00F94A7C"/>
    <w:rsid w:val="00FC6E2F"/>
    <w:rsid w:val="032A400D"/>
    <w:rsid w:val="06A937B4"/>
    <w:rsid w:val="0CD94113"/>
    <w:rsid w:val="0DC9F049"/>
    <w:rsid w:val="1059F0D7"/>
    <w:rsid w:val="111BCED9"/>
    <w:rsid w:val="11AFE70F"/>
    <w:rsid w:val="1463CF16"/>
    <w:rsid w:val="1648A107"/>
    <w:rsid w:val="18C19CC5"/>
    <w:rsid w:val="193F9034"/>
    <w:rsid w:val="1C3D6227"/>
    <w:rsid w:val="20AF18D8"/>
    <w:rsid w:val="232E80A2"/>
    <w:rsid w:val="23FA722F"/>
    <w:rsid w:val="277CE50A"/>
    <w:rsid w:val="2A1DB147"/>
    <w:rsid w:val="30BF3C98"/>
    <w:rsid w:val="314D56F8"/>
    <w:rsid w:val="374E83B2"/>
    <w:rsid w:val="3794804E"/>
    <w:rsid w:val="3D72FA2E"/>
    <w:rsid w:val="3D9D27FB"/>
    <w:rsid w:val="3DE7E039"/>
    <w:rsid w:val="40D0E73C"/>
    <w:rsid w:val="44B7B338"/>
    <w:rsid w:val="45184891"/>
    <w:rsid w:val="47E3BA3A"/>
    <w:rsid w:val="48EBE1EC"/>
    <w:rsid w:val="49411684"/>
    <w:rsid w:val="4CADDD94"/>
    <w:rsid w:val="4D9EA0C4"/>
    <w:rsid w:val="4EBEF08F"/>
    <w:rsid w:val="53A18956"/>
    <w:rsid w:val="5B5DF206"/>
    <w:rsid w:val="5C24FF78"/>
    <w:rsid w:val="5DE1272C"/>
    <w:rsid w:val="6317D5AF"/>
    <w:rsid w:val="65A3CA24"/>
    <w:rsid w:val="66252F0F"/>
    <w:rsid w:val="68E18856"/>
    <w:rsid w:val="6AAA251F"/>
    <w:rsid w:val="6D6A392C"/>
    <w:rsid w:val="6DDDF29D"/>
    <w:rsid w:val="6EEE796A"/>
    <w:rsid w:val="74949FF4"/>
    <w:rsid w:val="75E8CCF6"/>
    <w:rsid w:val="7AC49A00"/>
    <w:rsid w:val="7AD2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A007"/>
  <w15:chartTrackingRefBased/>
  <w15:docId w15:val="{7E9C5612-E97F-4FCD-8CEF-652336D7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1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01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69F"/>
    <w:pPr>
      <w:spacing w:after="0" w:line="240" w:lineRule="auto"/>
    </w:pPr>
  </w:style>
  <w:style w:type="paragraph" w:styleId="Header">
    <w:name w:val="header"/>
    <w:basedOn w:val="Normal"/>
    <w:link w:val="HeaderChar"/>
    <w:uiPriority w:val="99"/>
    <w:unhideWhenUsed/>
    <w:rsid w:val="00D66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6C2"/>
  </w:style>
  <w:style w:type="paragraph" w:styleId="Footer">
    <w:name w:val="footer"/>
    <w:basedOn w:val="Normal"/>
    <w:link w:val="FooterChar"/>
    <w:unhideWhenUsed/>
    <w:rsid w:val="00D66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6C2"/>
  </w:style>
  <w:style w:type="table" w:styleId="TableGrid">
    <w:name w:val="Table Grid"/>
    <w:basedOn w:val="TableNormal"/>
    <w:uiPriority w:val="59"/>
    <w:rsid w:val="00ED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443"/>
    <w:pPr>
      <w:ind w:left="720"/>
      <w:contextualSpacing/>
    </w:pPr>
  </w:style>
  <w:style w:type="character" w:styleId="Hyperlink">
    <w:name w:val="Hyperlink"/>
    <w:rsid w:val="009D1867"/>
    <w:rPr>
      <w:color w:val="0000FF"/>
      <w:u w:val="single"/>
    </w:rPr>
  </w:style>
  <w:style w:type="character" w:customStyle="1" w:styleId="Heading1Char">
    <w:name w:val="Heading 1 Char"/>
    <w:basedOn w:val="DefaultParagraphFont"/>
    <w:link w:val="Heading1"/>
    <w:uiPriority w:val="9"/>
    <w:rsid w:val="006001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00127"/>
    <w:rPr>
      <w:rFonts w:asciiTheme="majorHAnsi" w:eastAsiaTheme="majorEastAsia" w:hAnsiTheme="majorHAnsi" w:cstheme="majorBidi"/>
      <w:color w:val="2F5496" w:themeColor="accent1" w:themeShade="BF"/>
      <w:sz w:val="26"/>
      <w:szCs w:val="26"/>
    </w:rPr>
  </w:style>
  <w:style w:type="paragraph" w:customStyle="1" w:styleId="Default">
    <w:name w:val="Default"/>
    <w:rsid w:val="00731AF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F5E89"/>
    <w:rPr>
      <w:color w:val="954F72" w:themeColor="followedHyperlink"/>
      <w:u w:val="single"/>
    </w:rPr>
  </w:style>
  <w:style w:type="paragraph" w:styleId="BalloonText">
    <w:name w:val="Balloon Text"/>
    <w:basedOn w:val="Normal"/>
    <w:link w:val="BalloonTextChar"/>
    <w:uiPriority w:val="99"/>
    <w:semiHidden/>
    <w:unhideWhenUsed/>
    <w:rsid w:val="00457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8A"/>
    <w:rPr>
      <w:rFonts w:ascii="Segoe UI" w:hAnsi="Segoe UI" w:cs="Segoe UI"/>
      <w:sz w:val="18"/>
      <w:szCs w:val="18"/>
    </w:rPr>
  </w:style>
  <w:style w:type="character" w:styleId="PlaceholderText">
    <w:name w:val="Placeholder Text"/>
    <w:basedOn w:val="DefaultParagraphFont"/>
    <w:uiPriority w:val="99"/>
    <w:semiHidden/>
    <w:rsid w:val="008571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54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bcp.com.br/simple/upfiles/livros/001HTRP.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sheffield.ac.uk/polopoly_fs/1.43825!/file/Supporting-statistic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core.ac.uk/display/74226478"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jse.amstat.org/v17n1/marriott.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Learning%20Development%20Toolkit\Admin\LDT%20Summary%20Shee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F3695C7650444B0CB880FC308F8A6" ma:contentTypeVersion="10" ma:contentTypeDescription="Create a new document." ma:contentTypeScope="" ma:versionID="23512a70f720ec4aba1734c7df852699">
  <xsd:schema xmlns:xsd="http://www.w3.org/2001/XMLSchema" xmlns:xs="http://www.w3.org/2001/XMLSchema" xmlns:p="http://schemas.microsoft.com/office/2006/metadata/properties" xmlns:ns2="c8ec75c2-b801-4d96-84f6-50042ddea6c0" targetNamespace="http://schemas.microsoft.com/office/2006/metadata/properties" ma:root="true" ma:fieldsID="6b569a7b20525cb1f4080f4edd5ebf3a" ns2:_="">
    <xsd:import namespace="c8ec75c2-b801-4d96-84f6-50042ddea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c75c2-b801-4d96-84f6-50042ddea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D1F95E-04F9-4663-95B8-8A50C4580EFB}"/>
</file>

<file path=customXml/itemProps2.xml><?xml version="1.0" encoding="utf-8"?>
<ds:datastoreItem xmlns:ds="http://schemas.openxmlformats.org/officeDocument/2006/customXml" ds:itemID="{4C213D0B-A562-4160-B422-88631E2414BD}">
  <ds:schemaRefs>
    <ds:schemaRef ds:uri="http://schemas.microsoft.com/sharepoint/v3/contenttype/forms"/>
  </ds:schemaRefs>
</ds:datastoreItem>
</file>

<file path=customXml/itemProps3.xml><?xml version="1.0" encoding="utf-8"?>
<ds:datastoreItem xmlns:ds="http://schemas.openxmlformats.org/officeDocument/2006/customXml" ds:itemID="{3DAED929-1D23-419E-B687-95EF65A6C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LDT Summary Sheet - Template.dotx</Template>
  <TotalTime>4</TotalTime>
  <Pages>2</Pages>
  <Words>326</Words>
  <Characters>1860</Characters>
  <Application>Microsoft Office Word</Application>
  <DocSecurity>0</DocSecurity>
  <Lines>15</Lines>
  <Paragraphs>4</Paragraphs>
  <ScaleCrop>false</ScaleCrop>
  <Company>London South Bank University</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Khanom, Nazmin 10</dc:creator>
  <cp:keywords/>
  <dc:description/>
  <cp:lastModifiedBy>Thomas, Pamela 8</cp:lastModifiedBy>
  <cp:revision>58</cp:revision>
  <cp:lastPrinted>2019-08-06T14:44:00Z</cp:lastPrinted>
  <dcterms:created xsi:type="dcterms:W3CDTF">2020-11-18T19:55:00Z</dcterms:created>
  <dcterms:modified xsi:type="dcterms:W3CDTF">2020-11-30T10:59:00Z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0x010100DD4F3695C7650444B0CB880FC308F8A6</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